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GRPS  |  FSS + KSSN COLLABORATION</w:t>
      </w:r>
    </w:p>
    <w:p>
      <w:r>
        <w:rPr>
          <w:b/>
          <w:sz w:val="44"/>
        </w:rPr>
        <w:t>Preparación para reunión familiar / visita al hogar</w:t>
      </w:r>
    </w:p>
    <w:p>
      <w:r>
        <w:rPr>
          <w:b/>
          <w:sz w:val="18"/>
        </w:rPr>
        <w:t>FSS / SHARED</w:t>
      </w:r>
    </w:p>
    <w:p>
      <w:r>
        <w:t>Úsela antes de una reunión familiar o visita al hogar para mantener una conversación intencional y basada en fortalezas.</w:t>
      </w:r>
    </w:p>
    <w:p>
      <w:r>
        <w:rPr>
          <w:b/>
          <w:sz w:val="28"/>
        </w:rPr>
        <w:t>Le ayuda a decidir</w:t>
      </w:r>
    </w:p>
    <w:p>
      <w:r>
        <w:t>Prepararse para una conversación familiar enfocada que produzca próximos pasos claros.</w:t>
      </w:r>
    </w:p>
    <w:p>
      <w:r>
        <w:rPr>
          <w:b/>
          <w:sz w:val="28"/>
        </w:rPr>
        <w:t>Preguntas de trabajo</w:t>
      </w:r>
    </w:p>
    <w:p>
      <w:pPr>
        <w:pStyle w:val="ListBullet"/>
      </w:pPr>
      <w:r>
        <w:t>¿Qué sabemos ya?</w:t>
      </w:r>
    </w:p>
    <w:p>
      <w:pPr>
        <w:pStyle w:val="ListBullet"/>
      </w:pPr>
      <w:r>
        <w:t>¿Qué necesitamos comprender todavía?</w:t>
      </w:r>
    </w:p>
    <w:p>
      <w:pPr>
        <w:pStyle w:val="ListBullet"/>
      </w:pPr>
      <w:r>
        <w:t>¿Qué fortalezas podemos aprovechar?</w:t>
      </w:r>
    </w:p>
    <w:p>
      <w:pPr>
        <w:pStyle w:val="ListBullet"/>
      </w:pPr>
      <w:r>
        <w:t>¿Cuál es el propósito de este contacto?</w:t>
      </w:r>
    </w:p>
    <w:p>
      <w:r>
        <w:rPr>
          <w:b/>
          <w:sz w:val="28"/>
        </w:rPr>
        <w:t>Notas de trabajo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r>
        <w:t>Esta guía de trabajo no reemplaza la documentación ni los procesos de equipo requeridos por GRPS.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