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Conexión acompañada</w:t>
      </w:r>
    </w:p>
    <w:p>
      <w:r>
        <w:rPr>
          <w:b/>
          <w:sz w:val="18"/>
        </w:rPr>
        <w:t>FSS + KSSN</w:t>
      </w:r>
    </w:p>
    <w:p>
      <w:r>
        <w:t>Úsela cuando otra persona, servicio o socio deba participar sin perder continuidad.</w:t>
      </w:r>
    </w:p>
    <w:p>
      <w:r>
        <w:rPr>
          <w:b/>
          <w:sz w:val="28"/>
        </w:rPr>
        <w:t>Le ayuda a decidir</w:t>
      </w:r>
    </w:p>
    <w:p>
      <w:r>
        <w:t>Agregar otro apoyo sin transferir toda la situación.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Explique por qué la conexión corresponde.</w:t>
      </w:r>
    </w:p>
    <w:p>
      <w:pPr>
        <w:pStyle w:val="ListBullet"/>
      </w:pPr>
      <w:r>
        <w:t>Conecte directamente cuando sea posible.</w:t>
      </w:r>
    </w:p>
    <w:p>
      <w:pPr>
        <w:pStyle w:val="ListBullet"/>
      </w:pPr>
      <w:r>
        <w:t>Confirme el acceso.</w:t>
      </w:r>
    </w:p>
    <w:p>
      <w:pPr>
        <w:pStyle w:val="ListBullet"/>
      </w:pPr>
      <w:r>
        <w:t>Mantenga visible el objetivo original.</w:t>
      </w:r>
    </w:p>
    <w:p>
      <w:pPr>
        <w:pStyle w:val="ListBullet"/>
      </w:pPr>
      <w:r>
        <w:t>Dé seguimiento.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