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10-Minute Case Huddle</w:t>
      </w:r>
    </w:p>
    <w:p>
      <w:r>
        <w:rPr>
          <w:b/>
          <w:sz w:val="18"/>
        </w:rPr>
        <w:t>SCHOOL TEAM</w:t>
      </w:r>
    </w:p>
    <w:p>
      <w:r>
        <w:t>Use when the work is stuck, ownership is unclear, or multiple people are acting.</w:t>
      </w:r>
    </w:p>
    <w:p>
      <w:r>
        <w:rPr>
          <w:b/>
          <w:sz w:val="28"/>
        </w:rPr>
        <w:t>Helps you decide</w:t>
      </w:r>
    </w:p>
    <w:p>
      <w:r>
        <w:t>Unstick the work without creating another plan or another case manager.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What changed or surfaced?</w:t>
      </w:r>
    </w:p>
    <w:p>
      <w:pPr>
        <w:pStyle w:val="ListBullet"/>
      </w:pPr>
      <w:r>
        <w:t>What is our current understanding?</w:t>
      </w:r>
    </w:p>
    <w:p>
      <w:pPr>
        <w:pStyle w:val="ListBullet"/>
      </w:pPr>
      <w:r>
        <w:t>Who needs to act—and in what function?</w:t>
      </w:r>
    </w:p>
    <w:p>
      <w:pPr>
        <w:pStyle w:val="ListBullet"/>
      </w:pPr>
      <w:r>
        <w:t>What happens next?</w:t>
      </w:r>
    </w:p>
    <w:p>
      <w:pPr>
        <w:pStyle w:val="ListBullet"/>
      </w:pPr>
      <w:r>
        <w:t>When will we review?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