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Reunión breve de caso — 10 minutos</w:t>
      </w:r>
    </w:p>
    <w:p>
      <w:r>
        <w:rPr>
          <w:b/>
          <w:sz w:val="18"/>
        </w:rPr>
        <w:t>SCHOOL TEAM</w:t>
      </w:r>
    </w:p>
    <w:p>
      <w:r>
        <w:t>Úsela cuando el trabajo esté estancado, las responsabilidades no estén claras o varias personas estén actuando.</w:t>
      </w:r>
    </w:p>
    <w:p>
      <w:r>
        <w:rPr>
          <w:b/>
          <w:sz w:val="28"/>
        </w:rPr>
        <w:t>Le ayuda a decidir</w:t>
      </w:r>
    </w:p>
    <w:p>
      <w:r>
        <w:t>Destrabar el trabajo sin crear otro plan ni otro administrador del caso.</w:t>
      </w:r>
    </w:p>
    <w:p>
      <w:r>
        <w:rPr>
          <w:b/>
          <w:sz w:val="28"/>
        </w:rPr>
        <w:t>Preguntas de trabajo</w:t>
      </w:r>
    </w:p>
    <w:p>
      <w:pPr>
        <w:pStyle w:val="ListBullet"/>
      </w:pPr>
      <w:r>
        <w:t>¿Qué cambió o surgió?</w:t>
      </w:r>
    </w:p>
    <w:p>
      <w:pPr>
        <w:pStyle w:val="ListBullet"/>
      </w:pPr>
      <w:r>
        <w:t>¿Cuál es nuestra comprensión actual?</w:t>
      </w:r>
    </w:p>
    <w:p>
      <w:pPr>
        <w:pStyle w:val="ListBullet"/>
      </w:pPr>
      <w:r>
        <w:t>¿Quién debe actuar y en qué función?</w:t>
      </w:r>
    </w:p>
    <w:p>
      <w:pPr>
        <w:pStyle w:val="ListBullet"/>
      </w:pPr>
      <w:r>
        <w:t>¿Qué sucede después?</w:t>
      </w:r>
    </w:p>
    <w:p>
      <w:pPr>
        <w:pStyle w:val="ListBullet"/>
      </w:pPr>
      <w:r>
        <w:t>¿Cuándo revisaremos?</w:t>
      </w:r>
    </w:p>
    <w:p>
      <w:r>
        <w:rPr>
          <w:b/>
          <w:sz w:val="28"/>
        </w:rPr>
        <w:t>Notas de trabajo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Esta guía de trabajo no reemplaza la documentación ni los procesos de equipo requeridos por GRPS.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