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Revisión de pertinencia del socio</w:t>
      </w:r>
    </w:p>
    <w:p>
      <w:r>
        <w:rPr>
          <w:b/>
          <w:sz w:val="18"/>
        </w:rPr>
        <w:t>KSSN</w:t>
      </w:r>
    </w:p>
    <w:p>
      <w:r>
        <w:t>Úsela antes de agregar un socio comunitario, programa o servicio.</w:t>
      </w:r>
    </w:p>
    <w:p>
      <w:r>
        <w:rPr>
          <w:b/>
          <w:sz w:val="28"/>
        </w:rPr>
        <w:t>Le ayuda a decidir</w:t>
      </w:r>
    </w:p>
    <w:p>
      <w:r>
        <w:t>Determinar si un socio realmente corresponde a la necesidad identificada.</w:t>
      </w:r>
    </w:p>
    <w:p>
      <w:r>
        <w:rPr>
          <w:b/>
          <w:sz w:val="28"/>
        </w:rPr>
        <w:t>Preguntas de trabajo</w:t>
      </w:r>
    </w:p>
    <w:p>
      <w:pPr>
        <w:pStyle w:val="ListBullet"/>
      </w:pPr>
      <w:r>
        <w:t>¿Qué necesidad atiende?</w:t>
      </w:r>
    </w:p>
    <w:p>
      <w:pPr>
        <w:pStyle w:val="ListBullet"/>
      </w:pPr>
      <w:r>
        <w:t>¿Qué aporta el socio?</w:t>
      </w:r>
    </w:p>
    <w:p>
      <w:pPr>
        <w:pStyle w:val="ListBullet"/>
      </w:pPr>
      <w:r>
        <w:t>¿Cómo funcionará el acceso?</w:t>
      </w:r>
    </w:p>
    <w:p>
      <w:pPr>
        <w:pStyle w:val="ListBullet"/>
      </w:pPr>
      <w:r>
        <w:t>¿Quién coordina la relación?</w:t>
      </w:r>
    </w:p>
    <w:p>
      <w:pPr>
        <w:pStyle w:val="ListBullet"/>
      </w:pPr>
      <w:r>
        <w:t>¿Cómo sabremos que agrega valor?</w:t>
      </w:r>
    </w:p>
    <w:p>
      <w:r>
        <w:rPr>
          <w:b/>
          <w:sz w:val="28"/>
        </w:rPr>
        <w:t>Notas de trabajo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Esta guía de trabajo no reemplaza la documentación ni los procesos de equipo requeridos por GRPS.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