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Find More Support</w:t>
      </w:r>
    </w:p>
    <w:p>
      <w:r>
        <w:rPr>
          <w:b/>
          <w:sz w:val="18"/>
        </w:rPr>
        <w:t>KSSN / SHARED</w:t>
      </w:r>
    </w:p>
    <w:p>
      <w:r>
        <w:t>Use when an understood need requires a GRPS, Community School, or community resource.</w:t>
      </w:r>
    </w:p>
    <w:p>
      <w:r>
        <w:rPr>
          <w:b/>
          <w:sz w:val="28"/>
        </w:rPr>
        <w:t>Helps you decide</w:t>
      </w:r>
    </w:p>
    <w:p>
      <w:r>
        <w:t>Match the need to the right existing or additional support.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Identify the need.</w:t>
      </w:r>
    </w:p>
    <w:p>
      <w:pPr>
        <w:pStyle w:val="ListBullet"/>
      </w:pPr>
      <w:r>
        <w:t>Check existing GRPS/building supports first.</w:t>
      </w:r>
    </w:p>
    <w:p>
      <w:pPr>
        <w:pStyle w:val="ListBullet"/>
      </w:pPr>
      <w:r>
        <w:t>Add support only if needed.</w:t>
      </w:r>
    </w:p>
    <w:p>
      <w:pPr>
        <w:pStyle w:val="ListBullet"/>
      </w:pPr>
      <w:r>
        <w:t>Make a warm connection.</w:t>
      </w:r>
    </w:p>
    <w:p>
      <w:pPr>
        <w:pStyle w:val="ListBullet"/>
      </w:pPr>
      <w:r>
        <w:t>Confirm access and fit.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