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Del caso al sistema</w:t>
      </w:r>
    </w:p>
    <w:p>
      <w:r>
        <w:rPr>
          <w:b/>
          <w:sz w:val="18"/>
        </w:rPr>
        <w:t>KSSN + SCHOOL</w:t>
      </w:r>
    </w:p>
    <w:p>
      <w:r>
        <w:t>Úselo cuando la misma necesidad aparece en varios estudiantes o familias.</w:t>
      </w:r>
    </w:p>
    <w:p>
      <w:r>
        <w:rPr>
          <w:b/>
          <w:sz w:val="28"/>
        </w:rPr>
        <w:t>Le ayuda a decidir</w:t>
      </w:r>
    </w:p>
    <w:p>
      <w:r>
        <w:t>Pasar de necesidades individuales repetidas a una respuesta del sistema.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Situación individual.</w:t>
      </w:r>
    </w:p>
    <w:p>
      <w:pPr>
        <w:pStyle w:val="ListBullet"/>
      </w:pPr>
      <w:r>
        <w:t>Necesidad repetida.</w:t>
      </w:r>
    </w:p>
    <w:p>
      <w:pPr>
        <w:pStyle w:val="ListBullet"/>
      </w:pPr>
      <w:r>
        <w:t>Patrón identificado.</w:t>
      </w:r>
    </w:p>
    <w:p>
      <w:pPr>
        <w:pStyle w:val="ListBullet"/>
      </w:pPr>
      <w:r>
        <w:t>Respuesta de escuela / Escuela Comunitaria.</w:t>
      </w:r>
    </w:p>
    <w:p>
      <w:pPr>
        <w:pStyle w:val="ListBullet"/>
      </w:pPr>
      <w:r>
        <w:t>Respuesta del distrito cuando sea necesaria.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