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GRPS WRITTEN PROCESS</w:t>
      </w:r>
    </w:p>
    <w:p>
      <w:pPr>
        <w:jc w:val="center"/>
      </w:pPr>
      <w:r>
        <w:rPr>
          <w:b/>
          <w:sz w:val="24"/>
        </w:rPr>
        <w:t>Section 2 (Private Schools): Indicator 1</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MDE Indicator Requirement</w:t>
            </w:r>
          </w:p>
        </w:tc>
        <w:tc>
          <w:tcPr>
            <w:tcW w:type="dxa" w:w="5040"/>
          </w:tcPr>
          <w:p>
            <w:r>
              <w:t>Private school representatives are included in program planning and evaluation.</w:t>
            </w:r>
          </w:p>
        </w:tc>
      </w:tr>
    </w:tbl>
    <w:p>
      <w:pPr>
        <w:pStyle w:val="Heading1"/>
      </w:pPr>
      <w:r>
        <w:t>1. Purpose</w:t>
      </w:r>
    </w:p>
    <w:p>
      <w:r>
        <w:t>This written process establishes the procedures GRPS will use to implement, document, monitor, and annually review compliance with Section 2 (Private Schools): Indicator 1. It is designed to ensure the district can demonstrate both the existence of a written procedure and evidence that the procedure is implemented in practice.</w:t>
      </w:r>
    </w:p>
    <w:p>
      <w:pPr>
        <w:pStyle w:val="Heading1"/>
      </w:pPr>
      <w:r>
        <w:t>2. Applicability</w:t>
      </w:r>
    </w:p>
    <w:p>
      <w:r>
        <w:t>This process applies to all GRPS schools, departments, programs, administrators, employees, contractors, and stakeholders whose work is subject to the indicator. Where the indicator applies only to a specific federal program or population, the process is limited to that program or population.</w:t>
      </w:r>
    </w:p>
    <w:p>
      <w:pPr>
        <w:pStyle w:val="Heading1"/>
      </w:pPr>
      <w:r>
        <w:t>3. Governing Requirement</w:t>
      </w:r>
    </w:p>
    <w:p>
      <w:r>
        <w:t>Private school representatives are included in program planning and evaluation.</w:t>
      </w:r>
    </w:p>
    <w:p>
      <w:r>
        <w:t>The district will also follow the applicable federal statute and regulations, Uniform Guidance requirements, MDE program guidance, approved grant applications, and GRPS fiscal and administrative procedures.</w:t>
      </w:r>
    </w:p>
    <w:p>
      <w:pPr>
        <w:pStyle w:val="Heading1"/>
      </w:pPr>
      <w:r>
        <w:t>4. Detailed Procedures</w:t>
      </w:r>
    </w:p>
    <w:p>
      <w:r>
        <w:rPr>
          <w:b/>
        </w:rPr>
        <w:t xml:space="preserve">1. </w:t>
      </w:r>
      <w:r>
        <w:t>Identify eligible nonpublic schools and initiate timely, meaningful consultation before the district makes decisions affecting equitable services.</w:t>
      </w:r>
    </w:p>
    <w:p>
      <w:r>
        <w:rPr>
          <w:b/>
        </w:rPr>
        <w:t xml:space="preserve">2. </w:t>
      </w:r>
      <w:r>
        <w:t>Document consultation regarding student needs, services, delivery methods, assessment, service providers, timing, funding, and evaluation.</w:t>
      </w:r>
    </w:p>
    <w:p>
      <w:r>
        <w:rPr>
          <w:b/>
        </w:rPr>
        <w:t xml:space="preserve">3. </w:t>
      </w:r>
      <w:r>
        <w:t>Maintain written affirmation or other required documentation of consultation and follow up on unresolved issues.</w:t>
      </w:r>
    </w:p>
    <w:p>
      <w:r>
        <w:rPr>
          <w:b/>
        </w:rPr>
        <w:t xml:space="preserve">4. </w:t>
      </w:r>
      <w:r>
        <w:t>Provide ongoing communication during implementation and document program changes agreed upon through consultation.</w:t>
      </w:r>
    </w:p>
    <w:p>
      <w:r>
        <w:rPr>
          <w:b/>
        </w:rPr>
        <w:t xml:space="preserve">5. </w:t>
      </w:r>
      <w:r>
        <w:t>Evaluate services annually with participating nonpublic-school representatives and retain evidence of the evaluation.</w:t>
      </w:r>
    </w:p>
    <w:p>
      <w:r>
        <w:rPr>
          <w:b/>
        </w:rPr>
        <w:t xml:space="preserve">6. </w:t>
      </w:r>
      <w:r>
        <w:t>Evidence must be contemporaneous, dated when practicable, and sufficient to show implementation rather than merely intent.</w:t>
      </w:r>
    </w:p>
    <w:p>
      <w:r>
        <w:rPr>
          <w:b/>
        </w:rPr>
        <w:t xml:space="preserve">7. </w:t>
      </w:r>
      <w:r>
        <w:t>When implementation occurs at the school level, central-office monitoring will include a method for verifying school compliance and providing follow-up technical assistance.</w:t>
      </w:r>
    </w:p>
    <w:p>
      <w:r>
        <w:rPr>
          <w:b/>
        </w:rPr>
        <w:t xml:space="preserve">8. </w:t>
      </w:r>
      <w:r>
        <w:t>Identified noncompliance or incomplete documentation will be assigned corrective action, a responsible person, and a completion date. Completion will be verified and documented.</w:t>
      </w:r>
    </w:p>
    <w:p>
      <w:r>
        <w:rPr>
          <w:b/>
        </w:rPr>
        <w:t xml:space="preserve">9. </w:t>
      </w:r>
      <w:r>
        <w:t>Material changes to the process, program requirements, MDE guidance, or federal requirements will trigger an interim review rather than waiting for the annual review.</w:t>
      </w:r>
    </w:p>
    <w:p>
      <w:pPr>
        <w:pStyle w:val="Heading1"/>
      </w:pPr>
      <w:r>
        <w:t>5. Documentation and Evidence to Retain</w:t>
      </w:r>
    </w:p>
    <w:p>
      <w:pPr>
        <w:pStyle w:val="ListBullet"/>
      </w:pPr>
      <w:r>
        <w:t>The current approved written process and any related forms, templates, guidance, or checklists.</w:t>
      </w:r>
    </w:p>
    <w:p>
      <w:pPr>
        <w:pStyle w:val="ListBullet"/>
      </w:pPr>
      <w:r>
        <w:t>Dated implementation evidence appropriate to the indicator, such as agendas, minutes, attendance records, communications, approvals, monitoring tools, reports, data analyses, fiscal records, logs, consultation records, or evaluation results.</w:t>
      </w:r>
    </w:p>
    <w:p>
      <w:pPr>
        <w:pStyle w:val="ListBullet"/>
      </w:pPr>
      <w:r>
        <w:t>Evidence of required stakeholder participation or consultation, when applicable.</w:t>
      </w:r>
    </w:p>
    <w:p>
      <w:pPr>
        <w:pStyle w:val="ListBullet"/>
      </w:pPr>
      <w:r>
        <w:t>Records of technical assistance, monitoring findings, corrective actions, and verification of resolution.</w:t>
      </w:r>
    </w:p>
    <w:p>
      <w:pPr>
        <w:pStyle w:val="ListBullet"/>
      </w:pPr>
      <w:r>
        <w:t>Annual review documentation showing whether the process was effective and what revisions were made.</w:t>
      </w:r>
    </w:p>
    <w:p>
      <w:pPr>
        <w:pStyle w:val="Heading1"/>
      </w:pPr>
      <w:r>
        <w:t>6. Internal Controls and Quality Assurance</w:t>
      </w:r>
    </w:p>
    <w:p>
      <w:pPr>
        <w:pStyle w:val="ListBullet"/>
      </w:pPr>
      <w:r>
        <w:t>Segregate initiation, approval, fiscal processing, and monitoring functions when practicable.</w:t>
      </w:r>
    </w:p>
    <w:p>
      <w:pPr>
        <w:pStyle w:val="ListBullet"/>
      </w:pPr>
      <w:r>
        <w:t>Use standardized forms or electronic workflows for recurring approvals and documentation.</w:t>
      </w:r>
    </w:p>
    <w:p>
      <w:pPr>
        <w:pStyle w:val="ListBullet"/>
      </w:pPr>
      <w:r>
        <w:t>Maintain version control so staff can identify the current approved procedure.</w:t>
      </w:r>
    </w:p>
    <w:p>
      <w:pPr>
        <w:pStyle w:val="ListBullet"/>
      </w:pPr>
      <w:r>
        <w:t>Periodically sample implementation records for completeness, timeliness, and consistency.</w:t>
      </w:r>
    </w:p>
    <w:p>
      <w:pPr>
        <w:pStyle w:val="ListBullet"/>
      </w:pPr>
      <w:r>
        <w:t>Escalate unresolved compliance issues to the appropriate district administrator and document resolution.</w:t>
      </w:r>
    </w:p>
    <w:p>
      <w:pPr>
        <w:pStyle w:val="Heading1"/>
      </w:pPr>
      <w:r>
        <w:t>7. Monitoring Cycle</w:t>
      </w:r>
    </w:p>
    <w:p>
      <w:r>
        <w:t>At least annually, and more frequently when risk warrants, GRPS will review implementation evidence, identify gaps, verify corrective actions, and determine whether the written process requires revision. Prior to an MDE On-Site Review, the district will assemble representative evidence demonstrating implementation across the review period.</w:t>
      </w:r>
    </w:p>
    <w:p>
      <w:pPr>
        <w:pStyle w:val="Heading1"/>
      </w:pPr>
      <w:r>
        <w:t>8. Record Retention</w:t>
      </w:r>
    </w:p>
    <w:p>
      <w:r>
        <w:t>Records will be retained for the period required by the applicable grant, federal and state requirements, audit/monitoring requirements, and the GRPS records-retention schedule. Records subject to audit, litigation, claim, or unresolved monitoring findings will be retained until the matter is resolved, even when the normal retention period has expired.</w:t>
      </w:r>
    </w:p>
    <w:p>
      <w:pPr>
        <w:pStyle w:val="Heading1"/>
      </w:pPr>
      <w:r>
        <w:t>9. Annual Review and Revision</w:t>
      </w:r>
    </w:p>
    <w:p>
      <w:r>
        <w:t>The district will review this process annually for legal/programmatic changes, implementation issues, monitoring findings, audit results, and changes in district systems. Revisions will be communicated to affected staff and incorporated into training or technical assistance as appropriate.</w:t>
      </w:r>
    </w:p>
    <w:p>
      <w:pPr>
        <w:pStyle w:val="Heading1"/>
      </w:pPr>
      <w:r>
        <w:t>10. Approval and Revision History</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Pr>
                <w:b/>
              </w:rPr>
              <w:t>Effective Date</w:t>
            </w:r>
          </w:p>
        </w:tc>
        <w:tc>
          <w:tcPr>
            <w:tcW w:type="dxa" w:w="2520"/>
            <w:shd w:fill="D9EAF7"/>
          </w:tcPr>
          <w:p>
            <w:r>
              <w:rPr>
                <w:b/>
              </w:rPr>
              <w:t>Approved By</w:t>
            </w:r>
          </w:p>
        </w:tc>
        <w:tc>
          <w:tcPr>
            <w:tcW w:type="dxa" w:w="2520"/>
            <w:shd w:fill="D9EAF7"/>
          </w:tcPr>
          <w:p>
            <w:r>
              <w:rPr>
                <w:b/>
              </w:rPr>
              <w:t>Annual Review Date</w:t>
            </w:r>
          </w:p>
        </w:tc>
        <w:tc>
          <w:tcPr>
            <w:tcW w:type="dxa" w:w="2520"/>
            <w:shd w:fill="D9EAF7"/>
          </w:tcPr>
          <w:p>
            <w:r>
              <w:rPr>
                <w:b/>
              </w:rPr>
              <w:t>Revision Summary</w:t>
            </w:r>
          </w:p>
        </w:tc>
      </w:tr>
      <w:tr>
        <w:tc>
          <w:tcPr>
            <w:tcW w:type="dxa" w:w="2520"/>
          </w:tcPr>
          <w:p/>
        </w:tc>
        <w:tc>
          <w:tcPr>
            <w:tcW w:type="dxa" w:w="2520"/>
          </w:tcPr>
          <w:p/>
        </w:tc>
        <w:tc>
          <w:tcPr>
            <w:tcW w:type="dxa" w:w="2520"/>
          </w:tcPr>
          <w:p/>
        </w:tc>
        <w:tc>
          <w:tcPr>
            <w:tcW w:type="dxa" w:w="2520"/>
          </w:tcP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