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(Private Schools):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and the private school have ongoing communication.</w:t>
            </w:r>
          </w:p>
        </w:tc>
      </w:tr>
    </w:tbl>
    <w:p>
      <w:pPr>
        <w:pStyle w:val="Heading1"/>
      </w:pPr>
      <w:r>
        <w:t>1. Purpose</w:t>
      </w:r>
    </w:p>
    <w:p>
      <w:r>
        <w:t>This written process establishes the procedures GRPS will use to implement, document, monitor, and annually review compliance with Section 2 (Private Schools):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and the private school have ongoing communication.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eligible nonpublic schools and initiate timely, meaningful consultation before the district makes decisions affecting equitable services.</w:t>
      </w:r>
    </w:p>
    <w:p>
      <w:r>
        <w:rPr>
          <w:b/>
        </w:rPr>
        <w:t xml:space="preserve">2. </w:t>
      </w:r>
      <w:r>
        <w:t>Document consultation regarding student needs, services, delivery methods, assessment, service providers, timing, funding, and evaluation.</w:t>
      </w:r>
    </w:p>
    <w:p>
      <w:r>
        <w:rPr>
          <w:b/>
        </w:rPr>
        <w:t xml:space="preserve">3. </w:t>
      </w:r>
      <w:r>
        <w:t>Maintain written affirmation or other required documentation of consultation and follow up on unresolved issues.</w:t>
      </w:r>
    </w:p>
    <w:p>
      <w:r>
        <w:rPr>
          <w:b/>
        </w:rPr>
        <w:t xml:space="preserve">4. </w:t>
      </w:r>
      <w:r>
        <w:t>Provide ongoing communication during implementation and document program changes agreed upon through consultation.</w:t>
      </w:r>
    </w:p>
    <w:p>
      <w:r>
        <w:rPr>
          <w:b/>
        </w:rPr>
        <w:t xml:space="preserve">5. </w:t>
      </w:r>
      <w:r>
        <w:t>Evaluate services annually with participating nonpublic-school representatives and retain evidence of the evaluation.</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