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(Delinquent):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Supplementary programs/services are based on a needs assessment.</w:t>
            </w:r>
          </w:p>
        </w:tc>
      </w:tr>
    </w:tbl>
    <w:p>
      <w:pPr>
        <w:pStyle w:val="Heading1"/>
      </w:pPr>
      <w:r>
        <w:t>1. Purpose</w:t>
      </w:r>
    </w:p>
    <w:p>
      <w:r>
        <w:t>This written process establishes the procedures GRPS will use to implement, document, monitor, and annually review compliance with Section 2 (Delinquent):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Supplementary programs/services are based on a needs assessment.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Collect current quantitative and qualitative data relevant to the students, schools, staff, or program addressed by the indicator.</w:t>
      </w:r>
    </w:p>
    <w:p>
      <w:r>
        <w:rPr>
          <w:b/>
        </w:rPr>
        <w:t xml:space="preserve">2. </w:t>
      </w:r>
      <w:r>
        <w:t>Disaggregate and analyze data to identify priority needs, root causes, service gaps, and populations requiring additional support.</w:t>
      </w:r>
    </w:p>
    <w:p>
      <w:r>
        <w:rPr>
          <w:b/>
        </w:rPr>
        <w:t xml:space="preserve">3. </w:t>
      </w:r>
      <w:r>
        <w:t>Engage appropriate stakeholders in reviewing the findings and establishing priorities.</w:t>
      </w:r>
    </w:p>
    <w:p>
      <w:r>
        <w:rPr>
          <w:b/>
        </w:rPr>
        <w:t xml:space="preserve">4. </w:t>
      </w:r>
      <w:r>
        <w:t>Use documented findings to select program strategies, services, professional learning, staffing, or expenditures.</w:t>
      </w:r>
    </w:p>
    <w:p>
      <w:r>
        <w:rPr>
          <w:b/>
        </w:rPr>
        <w:t xml:space="preserve">5. </w:t>
      </w:r>
      <w:r>
        <w:t>Retain the needs assessment, data reviewed, meeting evidence, identified priorities, and the connection between identified needs and funded activities.</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