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III, Part A):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complies with the supplement, not supplant provisions in Title III, Part A.</w:t>
            </w:r>
          </w:p>
        </w:tc>
      </w:tr>
    </w:tbl>
    <w:p>
      <w:pPr>
        <w:pStyle w:val="Heading1"/>
      </w:pPr>
      <w:r>
        <w:t>1. Purpose</w:t>
      </w:r>
    </w:p>
    <w:p>
      <w:r>
        <w:t>This written process establishes the procedures GRPS will use to implement, document, monitor, and annually review compliance with Section 2 (Title III, Part A):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complies with the supplement, not supplant provisions in Title III, Part A.</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statutory purpose and allowable uses of the applicable federal program before approving an expenditure.</w:t>
      </w:r>
    </w:p>
    <w:p>
      <w:r>
        <w:rPr>
          <w:b/>
        </w:rPr>
        <w:t xml:space="preserve">2. </w:t>
      </w:r>
      <w:r>
        <w:t>Determine whether the proposed activity is required by state or local law or would otherwise be provided with state/local funds.</w:t>
      </w:r>
    </w:p>
    <w:p>
      <w:r>
        <w:rPr>
          <w:b/>
        </w:rPr>
        <w:t xml:space="preserve">3. </w:t>
      </w:r>
      <w:r>
        <w:t>Document the district's applicable supplement-not-supplant methodology or compliance analysis.</w:t>
      </w:r>
    </w:p>
    <w:p>
      <w:r>
        <w:rPr>
          <w:b/>
        </w:rPr>
        <w:t xml:space="preserve">4. </w:t>
      </w:r>
      <w:r>
        <w:t>Complete and retain the required review before obligation of federal funds.</w:t>
      </w:r>
    </w:p>
    <w:p>
      <w:r>
        <w:rPr>
          <w:b/>
        </w:rPr>
        <w:t xml:space="preserve">5. </w:t>
      </w:r>
      <w:r>
        <w:t>Periodically sample expenditures and program activities to verify continued compliance and correct exceptions.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