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IV, Part A):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evaluates Title IV, Part A programs/services for effectiveness and impact on student achievement.</w:t>
            </w:r>
          </w:p>
        </w:tc>
      </w:tr>
    </w:tbl>
    <w:p>
      <w:pPr>
        <w:pStyle w:val="Heading1"/>
      </w:pPr>
      <w:r>
        <w:t>1. Purpose</w:t>
      </w:r>
    </w:p>
    <w:p>
      <w:r>
        <w:t>This written process establishes the procedures GRPS will use to implement, document, monitor, and annually review compliance with Section 2 (Title IV, Part A):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evaluates Title IV, Part A programs/services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