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3: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maintains a physical inventory of the property purchased with Federal funds in accordance with 2 CFR 100.313.</w:t>
            </w:r>
          </w:p>
        </w:tc>
      </w:tr>
    </w:tbl>
    <w:p>
      <w:pPr>
        <w:pStyle w:val="Heading1"/>
      </w:pPr>
      <w:r>
        <w:t>1. Purpose</w:t>
      </w:r>
    </w:p>
    <w:p>
      <w:r>
        <w:t>This written process establishes the procedures GRPS will use to implement, document, monitor, and annually review compliance with Section 3: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maintains a physical inventory of the property purchased with Federal funds in accordance with 2 CFR 100.313.</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Record federally purchased equipment/property in the district inventory system when acquired, including required identifying and funding information.</w:t>
      </w:r>
    </w:p>
    <w:p>
      <w:r>
        <w:rPr>
          <w:b/>
        </w:rPr>
        <w:t xml:space="preserve">2. </w:t>
      </w:r>
      <w:r>
        <w:t>Tag or otherwise identify property when appropriate and assign custody/location responsibility.</w:t>
      </w:r>
    </w:p>
    <w:p>
      <w:r>
        <w:rPr>
          <w:b/>
        </w:rPr>
        <w:t xml:space="preserve">3. </w:t>
      </w:r>
      <w:r>
        <w:t>Maintain records of location, condition, use, acquisition information, federal participation, and disposition data.</w:t>
      </w:r>
    </w:p>
    <w:p>
      <w:r>
        <w:rPr>
          <w:b/>
        </w:rPr>
        <w:t xml:space="preserve">4. </w:t>
      </w:r>
      <w:r>
        <w:t>Conduct the required physical inventory and reconcile results to property records; investigate and resolve discrepancies.</w:t>
      </w:r>
    </w:p>
    <w:p>
      <w:r>
        <w:rPr>
          <w:b/>
        </w:rPr>
        <w:t xml:space="preserve">5. </w:t>
      </w:r>
      <w:r>
        <w:t>Apply appropriate safeguards, maintenance practices, transfer controls, and disposition procedures.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