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3: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maintains activity logs to support timekeeping as applicable with legislation.</w:t>
            </w:r>
          </w:p>
        </w:tc>
      </w:tr>
    </w:tbl>
    <w:p>
      <w:pPr>
        <w:pStyle w:val="Heading1"/>
      </w:pPr>
      <w:r>
        <w:t>1. Purpose</w:t>
      </w:r>
    </w:p>
    <w:p>
      <w:r>
        <w:t>This written process establishes the procedures GRPS will use to implement, document, monitor, and annually review compliance with Section 3: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maintains activity logs to support timekeeping as applicable with legislation.</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employees whose compensation is charged in whole or in part to federal or other restricted grant funds and communicate documentation requirements.</w:t>
      </w:r>
    </w:p>
    <w:p>
      <w:r>
        <w:rPr>
          <w:b/>
        </w:rPr>
        <w:t xml:space="preserve">2. </w:t>
      </w:r>
      <w:r>
        <w:t>Require activity/time documentation that reflects actual work performed and identifies the applicable cost objective, program, or funding source.</w:t>
      </w:r>
    </w:p>
    <w:p>
      <w:r>
        <w:rPr>
          <w:b/>
        </w:rPr>
        <w:t xml:space="preserve">3. </w:t>
      </w:r>
      <w:r>
        <w:t>Require timely employee certification and supervisory review in accordance with district procedures.</w:t>
      </w:r>
    </w:p>
    <w:p>
      <w:r>
        <w:rPr>
          <w:b/>
        </w:rPr>
        <w:t xml:space="preserve">4. </w:t>
      </w:r>
      <w:r>
        <w:t>Reconcile payroll charges to supporting activity documentation and make accounting adjustments when actual activity differs from budgeted distributions.</w:t>
      </w:r>
    </w:p>
    <w:p>
      <w:r>
        <w:rPr>
          <w:b/>
        </w:rPr>
        <w:t xml:space="preserve">5. </w:t>
      </w:r>
      <w:r>
        <w:t>Retain activity logs, certifications, payroll reconciliation records, corrections, and monitoring documentation.</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