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0"/>
          <w:szCs w:val="20"/>
        </w:rPr>
      </w:pPr>
      <w:r>
        <w:rPr>
          <w:b/>
          <w:bCs/>
          <w:sz w:val="20"/>
          <w:szCs w:val="20"/>
        </w:rPr>
        <w:t>Computational Modeling of Dorsal and Ventral Spinal Cord Stimulation for Pain Neuromodulation</w:t>
      </w:r>
    </w:p>
    <w:p>
      <w:pPr>
        <w:pStyle w:val="Normal"/>
        <w:rPr>
          <w:sz w:val="20"/>
          <w:szCs w:val="20"/>
          <w:vertAlign w:val="superscript"/>
        </w:rPr>
      </w:pPr>
      <w:r>
        <w:rPr>
          <w:sz w:val="22"/>
          <w:szCs w:val="22"/>
        </w:rPr>
        <w:t xml:space="preserve">Mohamed </w:t>
      </w:r>
      <w:r>
        <w:rPr>
          <w:sz w:val="20"/>
          <w:szCs w:val="20"/>
        </w:rPr>
        <w:t>Elazab</w:t>
      </w:r>
      <w:r>
        <w:rPr>
          <w:sz w:val="20"/>
          <w:szCs w:val="20"/>
          <w:vertAlign w:val="superscript"/>
        </w:rPr>
        <w:t>1</w:t>
      </w:r>
      <w:r>
        <w:rPr>
          <w:sz w:val="20"/>
          <w:szCs w:val="20"/>
        </w:rPr>
        <w:t>, Shane A. Bender</w:t>
      </w:r>
      <w:r>
        <w:rPr>
          <w:sz w:val="20"/>
          <w:szCs w:val="20"/>
          <w:vertAlign w:val="superscript"/>
        </w:rPr>
        <w:t>1,2</w:t>
      </w:r>
      <w:r>
        <w:rPr>
          <w:sz w:val="20"/>
          <w:szCs w:val="20"/>
        </w:rPr>
        <w:t>, David B. Green</w:t>
      </w:r>
      <w:r>
        <w:rPr>
          <w:sz w:val="20"/>
          <w:szCs w:val="20"/>
          <w:vertAlign w:val="superscript"/>
        </w:rPr>
        <w:t>1</w:t>
      </w:r>
      <w:r>
        <w:rPr>
          <w:sz w:val="20"/>
          <w:szCs w:val="20"/>
        </w:rPr>
        <w:t>, Tina L. Vrabec</w:t>
      </w:r>
      <w:r>
        <w:rPr>
          <w:sz w:val="20"/>
          <w:szCs w:val="20"/>
          <w:vertAlign w:val="superscript"/>
        </w:rPr>
        <w:t>1,2</w:t>
      </w:r>
      <w:r>
        <w:rPr>
          <w:sz w:val="20"/>
          <w:szCs w:val="20"/>
        </w:rPr>
        <w:t>, Gustaf M. Van Acker</w:t>
      </w:r>
      <w:r>
        <w:rPr>
          <w:sz w:val="20"/>
          <w:szCs w:val="20"/>
          <w:vertAlign w:val="superscript"/>
        </w:rPr>
        <w:t>1</w:t>
      </w:r>
    </w:p>
    <w:p>
      <w:pPr>
        <w:pStyle w:val="Normal"/>
        <w:rPr>
          <w:sz w:val="20"/>
          <w:szCs w:val="20"/>
        </w:rPr>
      </w:pPr>
      <w:r>
        <w:rPr>
          <w:sz w:val="20"/>
          <w:szCs w:val="20"/>
          <w:vertAlign w:val="superscript"/>
        </w:rPr>
        <w:t>1</w:t>
      </w:r>
      <w:r>
        <w:rPr>
          <w:sz w:val="20"/>
          <w:szCs w:val="20"/>
        </w:rPr>
        <w:t>Department of Physical Medicine and Rehabilitation, The MetroHealth System, Cleveland, OH, 44109 USA</w:t>
      </w:r>
    </w:p>
    <w:p>
      <w:pPr>
        <w:pStyle w:val="Normal"/>
        <w:rPr>
          <w:position w:val="0"/>
          <w:sz w:val="20"/>
          <w:szCs w:val="20"/>
          <w:vertAlign w:val="baseline"/>
        </w:rPr>
      </w:pPr>
      <w:r>
        <w:rPr>
          <w:sz w:val="20"/>
          <w:szCs w:val="20"/>
          <w:vertAlign w:val="superscript"/>
        </w:rPr>
        <w:t>2</w:t>
      </w:r>
      <w:r>
        <w:rPr>
          <w:position w:val="0"/>
          <w:sz w:val="20"/>
          <w:szCs w:val="20"/>
          <w:vertAlign w:val="baseline"/>
        </w:rPr>
        <w:t>Department of Physical Medicine and Rehabilitation, Case Western Reserve University, Cleveland, OH 44106 USA</w:t>
      </w:r>
    </w:p>
    <w:p>
      <w:pPr>
        <w:pStyle w:val="Normal"/>
        <w:suppressLineNumbers w:val="0"/>
        <w:spacing w:lineRule="auto" w:line="278" w:beforeAutospacing="0" w:before="0" w:afterAutospacing="0" w:after="160"/>
        <w:ind w:start="0" w:end="0"/>
        <w:jc w:val="start"/>
        <w:rPr>
          <w:sz w:val="20"/>
          <w:szCs w:val="20"/>
        </w:rPr>
      </w:pPr>
      <w:r>
        <w:rPr>
          <w:b/>
          <w:bCs/>
          <w:sz w:val="20"/>
          <w:szCs w:val="20"/>
        </w:rPr>
        <w:t>Introduction</w:t>
      </w:r>
      <w:r>
        <w:rPr>
          <w:sz w:val="20"/>
          <w:szCs w:val="20"/>
        </w:rPr>
        <w:t>: Spinal cord stimulation (SCS) is a widely used neuromodulation therapy for chronic pain. The efficacy of SCS depends on factors such a</w:t>
      </w:r>
      <w:r>
        <w:rPr>
          <w:sz w:val="20"/>
          <w:szCs w:val="20"/>
        </w:rPr>
        <w:t>s lead placement along the spinal cord and stimulation waveform parameters (e.g. current amplitude, frequency, and pulse width). These factors are empirically selected without a mechanistic understanding of which configurations optimally engage pain-modulating spinal circuitry. Preliminary clinical studies suggest that ventral epidural stimulation may provide superior analgesia to conventional dorsal stimulation in some patients [1], but the underlying neurophysiological basis for this difference remains unclear.</w:t>
      </w:r>
    </w:p>
    <w:p>
      <w:pPr>
        <w:pStyle w:val="Normal"/>
        <w:suppressLineNumbers w:val="0"/>
        <w:spacing w:lineRule="auto" w:line="278" w:beforeAutospacing="0" w:before="0" w:afterAutospacing="0" w:after="160"/>
        <w:ind w:start="0" w:end="0"/>
        <w:jc w:val="start"/>
        <w:rPr>
          <w:sz w:val="20"/>
          <w:szCs w:val="20"/>
        </w:rPr>
      </w:pPr>
      <w:r>
        <w:rPr>
          <w:b/>
          <w:bCs/>
          <w:sz w:val="20"/>
          <w:szCs w:val="20"/>
        </w:rPr>
        <w:t>Methods:</w:t>
      </w:r>
      <w:r>
        <w:rPr>
          <w:sz w:val="20"/>
          <w:szCs w:val="20"/>
        </w:rPr>
        <w:t xml:space="preserve"> We are developing a computational modeling pipeline, building on the open-source Realistic Anatomically Detailed Open-Source SCS (RADO-SCS) model by Khadka et al. [2]. We will compare dorsal and ventral thoracic (T9- T11) SCS lead placements and characterize their differential recruitment of afferent fiber populations (Aβ, A</w:t>
      </w:r>
      <w:r>
        <w:rPr>
          <w:rFonts w:eastAsia="Aptos" w:cs="Aptos" w:ascii="Aptos" w:hAnsi="Aptos" w:asciiTheme="minorAscii" w:cstheme="minorAscii" w:eastAsiaTheme="minorAscii" w:hAnsiTheme="minorAscii"/>
          <w:b w:val="false"/>
          <w:bCs w:val="false"/>
          <w:strike w:val="false"/>
          <w:dstrike w:val="false"/>
          <w:sz w:val="20"/>
          <w:szCs w:val="20"/>
          <w:u w:val="none"/>
          <w:lang w:val="en-US"/>
        </w:rPr>
        <w:t xml:space="preserve">δ and C fibers) across a range of stimulation waveform parameters (bipolar and tripolar electrode configuration; tonic, burst and high-frequency stimulation; current amplitude and pulse width). The pipeline consists of four stages: 1) SCS lead positioning at dorsal and ventral epidural neural targets using Ansys </w:t>
      </w:r>
      <w:r>
        <w:rPr>
          <w:rFonts w:eastAsia="Aptos" w:cs="Aptos" w:ascii="Aptos" w:hAnsi="Aptos" w:asciiTheme="minorAscii" w:cstheme="minorAscii" w:eastAsiaTheme="minorAscii" w:hAnsiTheme="minorAscii"/>
          <w:b w:val="false"/>
          <w:bCs w:val="false"/>
          <w:strike w:val="false"/>
          <w:dstrike w:val="false"/>
          <w:sz w:val="20"/>
          <w:szCs w:val="20"/>
          <w:u w:val="none"/>
          <w:lang w:val="en-US"/>
        </w:rPr>
        <w:t>D</w:t>
      </w:r>
      <w:r>
        <w:rPr>
          <w:rFonts w:eastAsia="Aptos" w:cs="Aptos" w:ascii="Aptos" w:hAnsi="Aptos" w:asciiTheme="minorAscii" w:cstheme="minorAscii" w:eastAsiaTheme="minorAscii" w:hAnsiTheme="minorAscii"/>
          <w:b w:val="false"/>
          <w:bCs w:val="false"/>
          <w:strike w:val="false"/>
          <w:dstrike w:val="false"/>
          <w:sz w:val="20"/>
          <w:szCs w:val="20"/>
          <w:u w:val="none"/>
          <w:lang w:val="en-US"/>
        </w:rPr>
        <w:t>e</w:t>
      </w:r>
      <w:r>
        <w:rPr>
          <w:rFonts w:eastAsia="Aptos" w:cs="Aptos" w:ascii="Aptos" w:hAnsi="Aptos" w:asciiTheme="minorAscii" w:cstheme="minorAscii" w:eastAsiaTheme="minorAscii" w:hAnsiTheme="minorAscii"/>
          <w:b w:val="false"/>
          <w:bCs w:val="false"/>
          <w:strike w:val="false"/>
          <w:dstrike w:val="false"/>
          <w:sz w:val="20"/>
          <w:szCs w:val="20"/>
          <w:u w:val="none"/>
          <w:lang w:val="en-US"/>
        </w:rPr>
        <w:t>s</w:t>
      </w:r>
      <w:r>
        <w:rPr>
          <w:rFonts w:eastAsia="Aptos" w:cs="Aptos" w:ascii="Aptos" w:hAnsi="Aptos" w:asciiTheme="minorAscii" w:cstheme="minorAscii" w:eastAsiaTheme="minorAscii" w:hAnsiTheme="minorAscii"/>
          <w:b w:val="false"/>
          <w:bCs w:val="false"/>
          <w:strike w:val="false"/>
          <w:dstrike w:val="false"/>
          <w:sz w:val="20"/>
          <w:szCs w:val="20"/>
          <w:u w:val="none"/>
          <w:lang w:val="en-US"/>
        </w:rPr>
        <w:t>i</w:t>
      </w:r>
      <w:r>
        <w:rPr>
          <w:rFonts w:eastAsia="Aptos" w:cs="Aptos" w:ascii="Aptos" w:hAnsi="Aptos" w:asciiTheme="minorAscii" w:cstheme="minorAscii" w:eastAsiaTheme="minorAscii" w:hAnsiTheme="minorAscii"/>
          <w:b w:val="false"/>
          <w:bCs w:val="false"/>
          <w:strike w:val="false"/>
          <w:dstrike w:val="false"/>
          <w:sz w:val="20"/>
          <w:szCs w:val="20"/>
          <w:u w:val="none"/>
          <w:lang w:val="en-US"/>
        </w:rPr>
        <w:t>g</w:t>
      </w:r>
      <w:r>
        <w:rPr>
          <w:rFonts w:eastAsia="Aptos" w:cs="Aptos" w:ascii="Aptos" w:hAnsi="Aptos" w:asciiTheme="minorAscii" w:cstheme="minorAscii" w:eastAsiaTheme="minorAscii" w:hAnsiTheme="minorAscii"/>
          <w:b w:val="false"/>
          <w:bCs w:val="false"/>
          <w:strike w:val="false"/>
          <w:dstrike w:val="false"/>
          <w:sz w:val="20"/>
          <w:szCs w:val="20"/>
          <w:u w:val="none"/>
          <w:lang w:val="en-US"/>
        </w:rPr>
        <w:t>nModeler</w:t>
      </w:r>
      <w:r>
        <w:rPr>
          <w:rFonts w:eastAsia="Aptos" w:cs="Aptos" w:ascii="Aptos" w:hAnsi="Aptos" w:asciiTheme="minorAscii" w:cstheme="minorAscii" w:eastAsiaTheme="minorAscii" w:hAnsiTheme="minorAscii"/>
          <w:b w:val="false"/>
          <w:bCs w:val="false"/>
          <w:strike w:val="false"/>
          <w:dstrike w:val="false"/>
          <w:sz w:val="20"/>
          <w:szCs w:val="20"/>
          <w:u w:val="none"/>
          <w:lang w:val="en-US"/>
        </w:rPr>
        <w:t>; 2) adaptive tetrahedral mesh generation of the imported anatomy in Ansys Mechanical; 3) finite element solution of the quasi-static electric field (∇·(σ∇V)=0) for each lead configuration in Ansys Mechanical/MAPDL using literature-derived tissue conductivities; and 4) coupling of the resulting extracellular potentials to multicompartment NEURON axon models of Aβ, Aδ, and C afferents todetermine per-fiber activation thresholds via bisection search.</w:t>
      </w:r>
    </w:p>
    <w:p>
      <w:pPr>
        <w:pStyle w:val="Normal"/>
        <w:suppressLineNumbers w:val="0"/>
        <w:spacing w:lineRule="auto" w:line="278" w:beforeAutospacing="0" w:before="0" w:afterAutospacing="0" w:after="160"/>
        <w:ind w:start="0" w:end="0"/>
        <w:jc w:val="start"/>
        <w:rPr>
          <w:sz w:val="20"/>
          <w:szCs w:val="20"/>
        </w:rPr>
      </w:pPr>
      <w:r>
        <w:rPr>
          <w:b/>
          <w:bCs/>
          <w:sz w:val="20"/>
          <w:szCs w:val="20"/>
        </w:rPr>
        <w:t>Conclusion</w:t>
      </w:r>
      <w:r>
        <w:rPr>
          <w:sz w:val="20"/>
          <w:szCs w:val="20"/>
        </w:rPr>
        <w:t>: Our modeling pipeline will provide a mechanistic, quantitative framework for comparing dorsal and ventral SCS lead placements and stimulation parameters in terms of their selective recruitment of pain-modulating afferent fiber populations. By identifying which configurations most effectively engage these circuits, this work may help explain the differential clinical efficacy observed between dorsal and ventral stimulation and inform more rational, patient-specific SCS programming strategies.</w:t>
      </w:r>
    </w:p>
    <w:p>
      <w:pPr>
        <w:pStyle w:val="Normal"/>
        <w:rPr>
          <w:sz w:val="20"/>
          <w:szCs w:val="20"/>
        </w:rPr>
      </w:pPr>
      <w:r>
        <w:rPr>
          <w:b/>
          <w:bCs/>
          <w:sz w:val="20"/>
          <w:szCs w:val="20"/>
        </w:rPr>
        <w:t>References</w:t>
      </w:r>
      <w:r>
        <w:rPr>
          <w:sz w:val="20"/>
          <w:szCs w:val="20"/>
        </w:rPr>
        <w:t>:</w:t>
      </w:r>
    </w:p>
    <w:p>
      <w:pPr>
        <w:pStyle w:val="Normal"/>
        <w:rPr>
          <w:sz w:val="20"/>
          <w:szCs w:val="20"/>
        </w:rPr>
      </w:pPr>
      <w:r>
        <w:rPr>
          <w:sz w:val="20"/>
          <w:szCs w:val="20"/>
        </w:rPr>
        <w:t>[1] Van Acker GM, Vrabec TL, Eghrari NB, Green DB, Kim CH. Ventral Column Spinal Cord Stimulation for Refractory Back and Leg Pain: A Case Series. Am J Phys Med Rehabil. 2026;105(3S Suppl 2):S50-S52. doi:10.1097/PHM.0000000000002779</w:t>
      </w:r>
    </w:p>
    <w:p>
      <w:pPr>
        <w:pStyle w:val="Normal"/>
        <w:spacing w:before="0" w:after="160"/>
        <w:rPr>
          <w:sz w:val="20"/>
          <w:szCs w:val="20"/>
        </w:rPr>
      </w:pPr>
      <w:r>
        <w:rPr>
          <w:sz w:val="20"/>
          <w:szCs w:val="20"/>
        </w:rPr>
        <w:t>[2] Khadka N, Liu X, Zander H, Swami J, Rogers E, Lempka SF, Bikson M. Realistic anatomically detailed open-source spinal cord stimulation (RADO-SCS) model. J Neural Eng. 2020;17(2):026033. doi:10.1088/1741-2552/ab8344</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Liberation Sans">
    <w:altName w:val="Arial"/>
    <w:charset w:val="01" w:characterSet="utf-8"/>
    <w:family w:val="swiss"/>
    <w:pitch w:val="variable"/>
  </w:font>
  <w:font w:name="Aptos">
    <w:charset w:val="01" w:characterSet="utf-8"/>
    <w:family w:val="swiss"/>
    <w:pitch w:val="variable"/>
  </w:font>
</w:fonts>
</file>

<file path=word/settings.xml><?xml version="1.0" encoding="utf-8"?>
<w:settings xmlns:w="http://schemas.openxmlformats.org/wordprocessingml/2006/main">
  <w:zoom w:percent="10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character" w:styleId="DefaultParagraphFont" w:default="1">
    <w:name w:val="Default Paragraph Font"/>
    <w:uiPriority w:val="1"/>
    <w:semiHidden/>
    <w:unhideWhenUsed/>
    <w:qFormat/>
    <w:rPr/>
  </w:style>
  <w:style w:type="character" w:styleId="FootnoteCharacters">
    <w:name w:val="Footnote Characters"/>
    <w:basedOn w:val="DefaultParagraphFont"/>
    <w:uiPriority w:val="99"/>
    <w:semiHidden/>
    <w:unhideWhenUsed/>
    <w:qFormat/>
    <w:rsid w:val="54c3a337"/>
    <w:rPr>
      <w:vertAlign w:val="superscript"/>
    </w:rPr>
  </w:style>
  <w:style w:type="character" w:styleId="FootnoteReference">
    <w:name w:val="footnote reference"/>
    <w:rPr>
      <w:vertAlign w:val="superscript"/>
    </w:rPr>
  </w:style>
  <w:style w:type="character" w:styleId="EndnoteCharacters">
    <w:name w:val="Endnote Characters"/>
    <w:basedOn w:val="DefaultParagraphFont"/>
    <w:uiPriority w:val="99"/>
    <w:semiHidden/>
    <w:unhideWhenUsed/>
    <w:qFormat/>
    <w:rsid w:val="54c3a337"/>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uiPriority w:val="99"/>
    <w:semiHidden/>
    <w:unhideWhenUsed/>
    <w:rsid w:val="54c3a337"/>
    <w:pPr>
      <w:spacing w:lineRule="auto" w:line="240" w:before="0" w:after="0"/>
    </w:pPr>
    <w:rPr>
      <w:sz w:val="20"/>
      <w:szCs w:val="20"/>
    </w:rPr>
  </w:style>
  <w:style w:type="paragraph" w:styleId="EndnoteText">
    <w:name w:val="endnote text"/>
    <w:basedOn w:val="Normal"/>
    <w:uiPriority w:val="99"/>
    <w:semiHidden/>
    <w:unhideWhenUsed/>
    <w:rsid w:val="54c3a337"/>
    <w:pPr>
      <w:spacing w:lineRule="auto" w:line="240" w:before="0" w:after="0"/>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LibreOffice/26.2.5.2$Linux_X86_64 LibreOffice_project/620$Build-2</Application>
  <AppVersion>15.0000</AppVersion>
  <Pages>2</Pages>
  <Words>421</Words>
  <Characters>2734</Characters>
  <CharactersWithSpaces>3145</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2026-09-04T11:50:29Z</dcterms:created>
  <dc:creator>Mohamed Elazab</dc:creator>
  <dc:description/>
  <dc:language>en-US</dc:language>
  <cp:lastModifiedBy>Mohamed Elazab</cp:lastModifiedBy>
  <dcterms:modified xsi:type="dcterms:W3CDTF">2026-09-08T08:39:26Z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