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F3864"/>
          <w:sz w:val="40"/>
          <w:szCs w:val="40"/>
        </w:rPr>
        <w:t xml:space="preserve">Capella AIDP Agent Memory Demonstration</w:t>
      </w:r>
    </w:p>
    <w:p>
      <w:pPr>
        <w:spacing w:after="160"/>
      </w:pPr>
      <w:r>
        <w:rPr>
          <w:i/>
          <w:iCs/>
          <w:color w:val="555555"/>
          <w:sz w:val="24"/>
          <w:szCs w:val="24"/>
        </w:rPr>
        <w:t xml:space="preserve">Engineering Design Specification</w:t>
      </w:r>
    </w:p>
    <w:p>
      <w:pPr>
        <w:spacing w:after="160"/>
      </w:pPr>
      <w:r>
        <w:rPr>
          <w:b/>
          <w:bCs/>
          <w:color w:val="555555"/>
          <w:sz w:val="24"/>
          <w:szCs w:val="24"/>
        </w:rPr>
        <w:t xml:space="preserve">Version 2.0 — Consolidated Architecture</w:t>
      </w:r>
    </w:p>
    <w:p>
      <w:pPr>
        <w:spacing w:after="160"/>
      </w:pPr>
      <w:r>
        <w:rPr>
          <w:i/>
          <w:iCs/>
          <w:color w:val="777777"/>
          <w:sz w:val="20"/>
          <w:szCs w:val="20"/>
        </w:rPr>
        <w:t xml:space="preserve">Supersedes v1.0. This revision consolidates the memory model, embedding governance, intent classification, and context fusion decisions made during architecture review. The three-scope Capella data model (Section 7) is locked.</w:t>
      </w:r>
    </w:p>
    <w:p>
      <w:pPr>
        <w:spacing w:after="200"/>
      </w:pPr>
    </w:p>
    <w:p>
      <w:pPr>
        <w:pStyle w:val="Heading1"/>
        <w:spacing w:after="160" w:before="360"/>
      </w:pPr>
      <w:r>
        <w:t xml:space="preserve">1. Executive Summary</w:t>
      </w:r>
    </w:p>
    <w:p>
      <w:pPr>
        <w:spacing w:after="160"/>
      </w:pPr>
      <w:r>
        <w:t xml:space="preserve">This project builds an interactive AI agent demonstration that showcases Couchbase Capella as an AI Data Platform (AIDP) by making agent memory visible. Instead of demonstrating only Retrieval-Augmented Generation (RAG), the application visualizes how multiple memory systems — with distinct cognitive roles, retrieval mechanisms, and governance models — collaborate to answer questions and execute tasks.</w:t>
      </w:r>
    </w:p>
    <w:p>
      <w:pPr>
        <w:spacing w:after="160"/>
      </w:pPr>
      <w:r>
        <w:t xml:space="preserve">Version 2.0 reflects a deeper architectural pass: it corrects an early over-generalization (treating all memory as vector-backed), restores a memory type that was accidentally dropped during consolidation (long-term/customer memory), and adds two capabilities that materially strengthen the demo's technical credibility: embedding generation governance and a Context Fusion layer that normalizes heterogeneous memory outputs before reasoning.</w:t>
      </w:r>
    </w:p>
    <w:p>
      <w:pPr>
        <w:pStyle w:val="Heading1"/>
        <w:spacing w:after="160" w:before="360"/>
      </w:pPr>
      <w:r>
        <w:t xml:space="preserve">2. Product Vision</w:t>
      </w:r>
    </w:p>
    <w:p>
      <w:pPr>
        <w:spacing w:after="160"/>
      </w:pPr>
      <w:r>
        <w:t xml:space="preserve">Create an experience where users can literally watch an AI agent think. As each question is processed, the memory systems illuminate and display the evidence they contributed — and, on request, the reasoning behind why those systems were consulted at all.</w:t>
      </w:r>
    </w:p>
    <w:p>
      <w:pPr>
        <w:pStyle w:val="Heading1"/>
        <w:spacing w:after="160" w:before="360"/>
      </w:pPr>
      <w:r>
        <w:t xml:space="preserve">3. Objectives</w:t>
      </w:r>
    </w:p>
    <w:p>
      <w:pPr>
        <w:pStyle w:val="ListParagraph"/>
        <w:numPr>
          <w:ilvl w:val="0"/>
          <w:numId w:val="2"/>
        </w:numPr>
        <w:spacing w:after="80"/>
      </w:pPr>
      <w:r>
        <w:t xml:space="preserve">Explain AIDP through experience instead of slides.</w:t>
      </w:r>
    </w:p>
    <w:p>
      <w:pPr>
        <w:pStyle w:val="ListParagraph"/>
        <w:numPr>
          <w:ilvl w:val="0"/>
          <w:numId w:val="2"/>
        </w:numPr>
        <w:spacing w:after="80"/>
      </w:pPr>
      <w:r>
        <w:t xml:space="preserve">Demonstrate six memory types, each with a distinct cognitive role and retrieval mechanism.</w:t>
      </w:r>
    </w:p>
    <w:p>
      <w:pPr>
        <w:pStyle w:val="ListParagraph"/>
        <w:numPr>
          <w:ilvl w:val="0"/>
          <w:numId w:val="2"/>
        </w:numPr>
        <w:spacing w:after="80"/>
      </w:pPr>
      <w:r>
        <w:t xml:space="preserve">Highlight JSON, SQL++, Vector Search, Eventing, Analytics, and operational data.</w:t>
      </w:r>
    </w:p>
    <w:p>
      <w:pPr>
        <w:pStyle w:val="ListParagraph"/>
        <w:numPr>
          <w:ilvl w:val="0"/>
          <w:numId w:val="2"/>
        </w:numPr>
        <w:spacing w:after="80"/>
      </w:pPr>
      <w:r>
        <w:t xml:space="preserve">Demonstrate responsible AI data engineering: embedding provenance, generation governance, and explainable evidence scoring.</w:t>
      </w:r>
    </w:p>
    <w:p>
      <w:pPr>
        <w:pStyle w:val="ListParagraph"/>
        <w:numPr>
          <w:ilvl w:val="0"/>
          <w:numId w:val="2"/>
        </w:numPr>
        <w:spacing w:after="80"/>
      </w:pPr>
      <w:r>
        <w:t xml:space="preserve">Produce a reusable customer and field demo.</w:t>
      </w:r>
    </w:p>
    <w:p>
      <w:pPr>
        <w:pStyle w:val="Heading1"/>
        <w:spacing w:after="160" w:before="360"/>
      </w:pPr>
      <w:r>
        <w:t xml:space="preserve">4. Demo Story</w:t>
      </w:r>
    </w:p>
    <w:p>
      <w:pPr>
        <w:spacing w:after="160"/>
      </w:pPr>
      <w:r>
        <w:t xml:space="preserve">Persona: Enterprise Sales Engineer preparing for a customer meeting.</w:t>
      </w:r>
    </w:p>
    <w:p>
      <w:pPr>
        <w:spacing w:after="160"/>
      </w:pPr>
      <w:r>
        <w:t xml:space="preserve">Scenario: The agent recalls account identity, searches semantically for learned facts, retrieves historical timelines, loads discovery playbooks, and maintains session context — while the UI shows which memory systems fired and why.</w:t>
      </w:r>
    </w:p>
    <w:p>
      <w:pPr>
        <w:pStyle w:val="Heading1"/>
        <w:spacing w:after="160" w:before="360"/>
      </w:pPr>
      <w:r>
        <w:t xml:space="preserve">5. Agent Brain Visualization</w:t>
      </w:r>
    </w:p>
    <w:p>
      <w:pPr>
        <w:spacing w:after="160"/>
      </w:pPr>
      <w:r>
        <w:t xml:space="preserve">The UI centerpiece is a live visualization of the agent's brain.</w:t>
      </w:r>
    </w:p>
    <w:p>
      <w:pPr>
        <w:pStyle w:val="Heading2"/>
        <w:spacing w:after="120" w:before="260"/>
      </w:pPr>
      <w:r>
        <w:t xml:space="preserve">Primary Flow</w:t>
      </w:r>
    </w:p>
    <w:p>
      <w:pPr>
        <w:shd w:fill="F2F2F2" w:val="clear"/>
        <w:spacing w:after="40"/>
      </w:pPr>
      <w:r>
        <w:rPr>
          <w:rFonts w:ascii="Consolas" w:cs="Consolas" w:eastAsia="Consolas" w:hAnsi="Consolas"/>
          <w:sz w:val="18"/>
          <w:szCs w:val="18"/>
        </w:rPr>
        <w:t xml:space="preserve">User Question</w:t>
      </w:r>
    </w:p>
    <w:p>
      <w:pPr>
        <w:shd w:fill="F2F2F2" w:val="clear"/>
        <w:spacing w:after="40"/>
      </w:pPr>
      <w:r>
        <w:rPr>
          <w:rFonts w:ascii="Consolas" w:cs="Consolas" w:eastAsia="Consolas" w:hAnsi="Consolas"/>
          <w:sz w:val="18"/>
          <w:szCs w:val="18"/>
        </w:rPr>
        <w:t xml:space="preserve">  -&gt; Memory Attention Layer (intent classifier: generates evidence, not decisions)</w:t>
      </w:r>
    </w:p>
    <w:p>
      <w:pPr>
        <w:shd w:fill="F2F2F2" w:val="clear"/>
        <w:spacing w:after="40"/>
      </w:pPr>
      <w:r>
        <w:rPr>
          <w:rFonts w:ascii="Consolas" w:cs="Consolas" w:eastAsia="Consolas" w:hAnsi="Consolas"/>
          <w:sz w:val="18"/>
          <w:szCs w:val="18"/>
        </w:rPr>
        <w:t xml:space="preserve">  -&gt; Memory Orchestrator (LLM performs final routing)</w:t>
      </w:r>
    </w:p>
    <w:p>
      <w:pPr>
        <w:shd w:fill="F2F2F2" w:val="clear"/>
        <w:spacing w:after="40"/>
      </w:pPr>
      <w:r>
        <w:rPr>
          <w:rFonts w:ascii="Consolas" w:cs="Consolas" w:eastAsia="Consolas" w:hAnsi="Consolas"/>
          <w:sz w:val="18"/>
          <w:szCs w:val="18"/>
        </w:rPr>
        <w:t xml:space="preserve">  -&gt; Long-Term Memory | Semantic Memory | Episodic Memory | Procedural Memory</w:t>
      </w:r>
    </w:p>
    <w:p>
      <w:pPr>
        <w:shd w:fill="F2F2F2" w:val="clear"/>
        <w:spacing w:after="40"/>
      </w:pPr>
      <w:r>
        <w:rPr>
          <w:rFonts w:ascii="Consolas" w:cs="Consolas" w:eastAsia="Consolas" w:hAnsi="Consolas"/>
          <w:sz w:val="18"/>
          <w:szCs w:val="18"/>
        </w:rPr>
        <w:t xml:space="preserve">  -&gt; Context Fusion (normalize -&gt; link provenance -&gt; rank)</w:t>
      </w:r>
    </w:p>
    <w:p>
      <w:pPr>
        <w:shd w:fill="F2F2F2" w:val="clear"/>
        <w:spacing w:after="40"/>
      </w:pPr>
      <w:r>
        <w:rPr>
          <w:rFonts w:ascii="Consolas" w:cs="Consolas" w:eastAsia="Consolas" w:hAnsi="Consolas"/>
          <w:sz w:val="18"/>
          <w:szCs w:val="18"/>
        </w:rPr>
        <w:t xml:space="preserve">  -&gt; Reasoning LLM -&gt; Response</w:t>
      </w:r>
    </w:p>
    <w:p>
      <w:pPr>
        <w:spacing w:after="160"/>
      </w:pPr>
      <w:r>
        <w:t xml:space="preserve">Each node pulses when active. A Memory Inspector panel shows the exact document, vector hit, event, or playbook responsible for the answer, plus — in an advanced/debug view — the classifier signals and embedding compatibility checks behind each retrieval.</w:t>
      </w:r>
    </w:p>
    <w:p>
      <w:pPr>
        <w:pStyle w:val="Heading1"/>
        <w:spacing w:after="160" w:before="360"/>
      </w:pPr>
      <w:r>
        <w:t xml:space="preserve">6. Memory Model</w:t>
      </w:r>
    </w:p>
    <w:p>
      <w:pPr>
        <w:spacing w:after="160"/>
      </w:pPr>
      <w:r>
        <w:t xml:space="preserve">Six memory types, each with a distinct cognitive role. This restores Long-Term Memory, which was inadvertently collapsed out of the model during an earlier consolidation pass — it is not a naming variant of any other memory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50"/>
      </w:tblGrid>
      <w:tr>
        <w:trPr>
          <w:tblHeader/>
        </w:trPr>
        <w:tc>
          <w:tcPr>
            <w:tcW w:type="dxa" w:w="2200"/>
            <w:shd w:fill="2F5496" w:val="clear"/>
            <w:tcMar>
              <w:top w:type="dxa" w:w="80"/>
              <w:left w:type="dxa" w:w="120"/>
              <w:bottom w:type="dxa" w:w="80"/>
              <w:right w:type="dxa" w:w="120"/>
            </w:tcMar>
          </w:tcPr>
          <w:p>
            <w:r>
              <w:rPr>
                <w:b/>
                <w:bCs/>
                <w:color w:val="FFFFFF"/>
                <w:sz w:val="20"/>
                <w:szCs w:val="20"/>
              </w:rPr>
              <w:t xml:space="preserve">Memory Type</w:t>
            </w:r>
          </w:p>
        </w:tc>
        <w:tc>
          <w:tcPr>
            <w:tcW w:type="dxa" w:w="2600"/>
            <w:shd w:fill="2F5496" w:val="clear"/>
            <w:tcMar>
              <w:top w:type="dxa" w:w="80"/>
              <w:left w:type="dxa" w:w="120"/>
              <w:bottom w:type="dxa" w:w="80"/>
              <w:right w:type="dxa" w:w="120"/>
            </w:tcMar>
          </w:tcPr>
          <w:p>
            <w:r>
              <w:rPr>
                <w:b/>
                <w:bCs/>
                <w:color w:val="FFFFFF"/>
                <w:sz w:val="20"/>
                <w:szCs w:val="20"/>
              </w:rPr>
              <w:t xml:space="preserve">Cognitive Role</w:t>
            </w:r>
          </w:p>
        </w:tc>
        <w:tc>
          <w:tcPr>
            <w:tcW w:type="dxa" w:w="2000"/>
            <w:shd w:fill="2F5496" w:val="clear"/>
            <w:tcMar>
              <w:top w:type="dxa" w:w="80"/>
              <w:left w:type="dxa" w:w="120"/>
              <w:bottom w:type="dxa" w:w="80"/>
              <w:right w:type="dxa" w:w="120"/>
            </w:tcMar>
          </w:tcPr>
          <w:p>
            <w:r>
              <w:rPr>
                <w:b/>
                <w:bCs/>
                <w:color w:val="FFFFFF"/>
                <w:sz w:val="20"/>
                <w:szCs w:val="20"/>
              </w:rPr>
              <w:t xml:space="preserve">Storage</w:t>
            </w:r>
          </w:p>
        </w:tc>
        <w:tc>
          <w:tcPr>
            <w:tcW w:type="dxa" w:w="2550"/>
            <w:shd w:fill="2F5496" w:val="clear"/>
            <w:tcMar>
              <w:top w:type="dxa" w:w="80"/>
              <w:left w:type="dxa" w:w="120"/>
              <w:bottom w:type="dxa" w:w="80"/>
              <w:right w:type="dxa" w:w="120"/>
            </w:tcMar>
          </w:tcPr>
          <w:p>
            <w:r>
              <w:rPr>
                <w:b/>
                <w:bCs/>
                <w:color w:val="FFFFFF"/>
                <w:sz w:val="20"/>
                <w:szCs w:val="20"/>
              </w:rPr>
              <w:t xml:space="preserve">Retrieval Method</w:t>
            </w:r>
          </w:p>
        </w:tc>
      </w:tr>
      <w:tr>
        <w:tc>
          <w:tcPr>
            <w:tcW w:type="dxa" w:w="2200"/>
            <w:shd w:fill="FFFFFF" w:val="clear"/>
            <w:tcMar>
              <w:top w:type="dxa" w:w="80"/>
              <w:left w:type="dxa" w:w="120"/>
              <w:bottom w:type="dxa" w:w="80"/>
              <w:right w:type="dxa" w:w="120"/>
            </w:tcMar>
          </w:tcPr>
          <w:p>
            <w:r>
              <w:rPr>
                <w:sz w:val="20"/>
                <w:szCs w:val="20"/>
              </w:rPr>
              <w:t xml:space="preserve">Working Memory</w:t>
            </w:r>
          </w:p>
        </w:tc>
        <w:tc>
          <w:tcPr>
            <w:tcW w:type="dxa" w:w="2600"/>
            <w:shd w:fill="FFFFFF" w:val="clear"/>
            <w:tcMar>
              <w:top w:type="dxa" w:w="80"/>
              <w:left w:type="dxa" w:w="120"/>
              <w:bottom w:type="dxa" w:w="80"/>
              <w:right w:type="dxa" w:w="120"/>
            </w:tcMar>
          </w:tcPr>
          <w:p>
            <w:r>
              <w:rPr>
                <w:sz w:val="20"/>
                <w:szCs w:val="20"/>
              </w:rPr>
              <w:t xml:space="preserve">Current reasoning state / scratchpad</w:t>
            </w:r>
          </w:p>
        </w:tc>
        <w:tc>
          <w:tcPr>
            <w:tcW w:type="dxa" w:w="2000"/>
            <w:shd w:fill="FFFFFF" w:val="clear"/>
            <w:tcMar>
              <w:top w:type="dxa" w:w="80"/>
              <w:left w:type="dxa" w:w="120"/>
              <w:bottom w:type="dxa" w:w="80"/>
              <w:right w:type="dxa" w:w="120"/>
            </w:tcMar>
          </w:tcPr>
          <w:p>
            <w:r>
              <w:rPr>
                <w:sz w:val="20"/>
                <w:szCs w:val="20"/>
              </w:rPr>
              <w:t xml:space="preserve">In-process / session state</w:t>
            </w:r>
          </w:p>
        </w:tc>
        <w:tc>
          <w:tcPr>
            <w:tcW w:type="dxa" w:w="2550"/>
            <w:shd w:fill="FFFFFF" w:val="clear"/>
            <w:tcMar>
              <w:top w:type="dxa" w:w="80"/>
              <w:left w:type="dxa" w:w="120"/>
              <w:bottom w:type="dxa" w:w="80"/>
              <w:right w:type="dxa" w:w="120"/>
            </w:tcMar>
          </w:tcPr>
          <w:p>
            <w:r>
              <w:rPr>
                <w:sz w:val="20"/>
                <w:szCs w:val="20"/>
              </w:rPr>
              <w:t xml:space="preserve">Direct access</w:t>
            </w:r>
          </w:p>
        </w:tc>
      </w:tr>
      <w:tr>
        <w:tc>
          <w:tcPr>
            <w:tcW w:type="dxa" w:w="2200"/>
            <w:shd w:fill="F2F6FB" w:val="clear"/>
            <w:tcMar>
              <w:top w:type="dxa" w:w="80"/>
              <w:left w:type="dxa" w:w="120"/>
              <w:bottom w:type="dxa" w:w="80"/>
              <w:right w:type="dxa" w:w="120"/>
            </w:tcMar>
          </w:tcPr>
          <w:p>
            <w:r>
              <w:rPr>
                <w:sz w:val="20"/>
                <w:szCs w:val="20"/>
              </w:rPr>
              <w:t xml:space="preserve">Short-Term Memory</w:t>
            </w:r>
          </w:p>
        </w:tc>
        <w:tc>
          <w:tcPr>
            <w:tcW w:type="dxa" w:w="2600"/>
            <w:shd w:fill="F2F6FB" w:val="clear"/>
            <w:tcMar>
              <w:top w:type="dxa" w:w="80"/>
              <w:left w:type="dxa" w:w="120"/>
              <w:bottom w:type="dxa" w:w="80"/>
              <w:right w:type="dxa" w:w="120"/>
            </w:tcMar>
          </w:tcPr>
          <w:p>
            <w:r>
              <w:rPr>
                <w:sz w:val="20"/>
                <w:szCs w:val="20"/>
              </w:rPr>
              <w:t xml:space="preserve">Conversation continuity within a session</w:t>
            </w:r>
          </w:p>
        </w:tc>
        <w:tc>
          <w:tcPr>
            <w:tcW w:type="dxa" w:w="2000"/>
            <w:shd w:fill="F2F6FB" w:val="clear"/>
            <w:tcMar>
              <w:top w:type="dxa" w:w="80"/>
              <w:left w:type="dxa" w:w="120"/>
              <w:bottom w:type="dxa" w:w="80"/>
              <w:right w:type="dxa" w:w="120"/>
            </w:tcMar>
          </w:tcPr>
          <w:p>
            <w:r>
              <w:rPr>
                <w:sz w:val="20"/>
                <w:szCs w:val="20"/>
              </w:rPr>
              <w:t xml:space="preserve">short_term_memory</w:t>
            </w:r>
          </w:p>
        </w:tc>
        <w:tc>
          <w:tcPr>
            <w:tcW w:type="dxa" w:w="2550"/>
            <w:shd w:fill="F2F6FB" w:val="clear"/>
            <w:tcMar>
              <w:top w:type="dxa" w:w="80"/>
              <w:left w:type="dxa" w:w="120"/>
              <w:bottom w:type="dxa" w:w="80"/>
              <w:right w:type="dxa" w:w="120"/>
            </w:tcMar>
          </w:tcPr>
          <w:p>
            <w:r>
              <w:rPr>
                <w:sz w:val="20"/>
                <w:szCs w:val="20"/>
              </w:rPr>
              <w:t xml:space="preserve">Session document lookup</w:t>
            </w:r>
          </w:p>
        </w:tc>
      </w:tr>
      <w:tr>
        <w:tc>
          <w:tcPr>
            <w:tcW w:type="dxa" w:w="2200"/>
            <w:shd w:fill="FFFFFF" w:val="clear"/>
            <w:tcMar>
              <w:top w:type="dxa" w:w="80"/>
              <w:left w:type="dxa" w:w="120"/>
              <w:bottom w:type="dxa" w:w="80"/>
              <w:right w:type="dxa" w:w="120"/>
            </w:tcMar>
          </w:tcPr>
          <w:p>
            <w:r>
              <w:rPr>
                <w:sz w:val="20"/>
                <w:szCs w:val="20"/>
              </w:rPr>
              <w:t xml:space="preserve">Long-Term Memory</w:t>
            </w:r>
          </w:p>
        </w:tc>
        <w:tc>
          <w:tcPr>
            <w:tcW w:type="dxa" w:w="2600"/>
            <w:shd w:fill="FFFFFF" w:val="clear"/>
            <w:tcMar>
              <w:top w:type="dxa" w:w="80"/>
              <w:left w:type="dxa" w:w="120"/>
              <w:bottom w:type="dxa" w:w="80"/>
              <w:right w:type="dxa" w:w="120"/>
            </w:tcMar>
          </w:tcPr>
          <w:p>
            <w:r>
              <w:rPr>
                <w:sz w:val="20"/>
                <w:szCs w:val="20"/>
              </w:rPr>
              <w:t xml:space="preserve">Stable customer / account identity</w:t>
            </w:r>
          </w:p>
        </w:tc>
        <w:tc>
          <w:tcPr>
            <w:tcW w:type="dxa" w:w="2000"/>
            <w:shd w:fill="FFFFFF" w:val="clear"/>
            <w:tcMar>
              <w:top w:type="dxa" w:w="80"/>
              <w:left w:type="dxa" w:w="120"/>
              <w:bottom w:type="dxa" w:w="80"/>
              <w:right w:type="dxa" w:w="120"/>
            </w:tcMar>
          </w:tcPr>
          <w:p>
            <w:r>
              <w:rPr>
                <w:sz w:val="20"/>
                <w:szCs w:val="20"/>
              </w:rPr>
              <w:t xml:space="preserve">customers</w:t>
            </w:r>
          </w:p>
        </w:tc>
        <w:tc>
          <w:tcPr>
            <w:tcW w:type="dxa" w:w="2550"/>
            <w:shd w:fill="FFFFFF" w:val="clear"/>
            <w:tcMar>
              <w:top w:type="dxa" w:w="80"/>
              <w:left w:type="dxa" w:w="120"/>
              <w:bottom w:type="dxa" w:w="80"/>
              <w:right w:type="dxa" w:w="120"/>
            </w:tcMar>
          </w:tcPr>
          <w:p>
            <w:r>
              <w:rPr>
                <w:sz w:val="20"/>
                <w:szCs w:val="20"/>
              </w:rPr>
              <w:t xml:space="preserve">Customer ID lookup + metadata filters</w:t>
            </w:r>
          </w:p>
        </w:tc>
      </w:tr>
      <w:tr>
        <w:tc>
          <w:tcPr>
            <w:tcW w:type="dxa" w:w="2200"/>
            <w:shd w:fill="F2F6FB" w:val="clear"/>
            <w:tcMar>
              <w:top w:type="dxa" w:w="80"/>
              <w:left w:type="dxa" w:w="120"/>
              <w:bottom w:type="dxa" w:w="80"/>
              <w:right w:type="dxa" w:w="120"/>
            </w:tcMar>
          </w:tcPr>
          <w:p>
            <w:r>
              <w:rPr>
                <w:sz w:val="20"/>
                <w:szCs w:val="20"/>
              </w:rPr>
              <w:t xml:space="preserve">Episodic Memory</w:t>
            </w:r>
          </w:p>
        </w:tc>
        <w:tc>
          <w:tcPr>
            <w:tcW w:type="dxa" w:w="2600"/>
            <w:shd w:fill="F2F6FB" w:val="clear"/>
            <w:tcMar>
              <w:top w:type="dxa" w:w="80"/>
              <w:left w:type="dxa" w:w="120"/>
              <w:bottom w:type="dxa" w:w="80"/>
              <w:right w:type="dxa" w:w="120"/>
            </w:tcMar>
          </w:tcPr>
          <w:p>
            <w:r>
              <w:rPr>
                <w:sz w:val="20"/>
                <w:szCs w:val="20"/>
              </w:rPr>
              <w:t xml:space="preserve">Historical events and interactions</w:t>
            </w:r>
          </w:p>
        </w:tc>
        <w:tc>
          <w:tcPr>
            <w:tcW w:type="dxa" w:w="2000"/>
            <w:shd w:fill="F2F6FB" w:val="clear"/>
            <w:tcMar>
              <w:top w:type="dxa" w:w="80"/>
              <w:left w:type="dxa" w:w="120"/>
              <w:bottom w:type="dxa" w:w="80"/>
              <w:right w:type="dxa" w:w="120"/>
            </w:tcMar>
          </w:tcPr>
          <w:p>
            <w:r>
              <w:rPr>
                <w:sz w:val="20"/>
                <w:szCs w:val="20"/>
              </w:rPr>
              <w:t xml:space="preserve">events</w:t>
            </w:r>
          </w:p>
        </w:tc>
        <w:tc>
          <w:tcPr>
            <w:tcW w:type="dxa" w:w="2550"/>
            <w:shd w:fill="F2F6FB" w:val="clear"/>
            <w:tcMar>
              <w:top w:type="dxa" w:w="80"/>
              <w:left w:type="dxa" w:w="120"/>
              <w:bottom w:type="dxa" w:w="80"/>
              <w:right w:type="dxa" w:w="120"/>
            </w:tcMar>
          </w:tcPr>
          <w:p>
            <w:r>
              <w:rPr>
                <w:sz w:val="20"/>
                <w:szCs w:val="20"/>
              </w:rPr>
              <w:t xml:space="preserve">Entity + timeline / structured filters</w:t>
            </w:r>
          </w:p>
        </w:tc>
      </w:tr>
      <w:tr>
        <w:tc>
          <w:tcPr>
            <w:tcW w:type="dxa" w:w="2200"/>
            <w:shd w:fill="FFFFFF" w:val="clear"/>
            <w:tcMar>
              <w:top w:type="dxa" w:w="80"/>
              <w:left w:type="dxa" w:w="120"/>
              <w:bottom w:type="dxa" w:w="80"/>
              <w:right w:type="dxa" w:w="120"/>
            </w:tcMar>
          </w:tcPr>
          <w:p>
            <w:r>
              <w:rPr>
                <w:sz w:val="20"/>
                <w:szCs w:val="20"/>
              </w:rPr>
              <w:t xml:space="preserve">Semantic Memory</w:t>
            </w:r>
          </w:p>
        </w:tc>
        <w:tc>
          <w:tcPr>
            <w:tcW w:type="dxa" w:w="2600"/>
            <w:shd w:fill="FFFFFF" w:val="clear"/>
            <w:tcMar>
              <w:top w:type="dxa" w:w="80"/>
              <w:left w:type="dxa" w:w="120"/>
              <w:bottom w:type="dxa" w:w="80"/>
              <w:right w:type="dxa" w:w="120"/>
            </w:tcMar>
          </w:tcPr>
          <w:p>
            <w:r>
              <w:rPr>
                <w:sz w:val="20"/>
                <w:szCs w:val="20"/>
              </w:rPr>
              <w:t xml:space="preserve">Learned facts and extracted knowledge</w:t>
            </w:r>
          </w:p>
        </w:tc>
        <w:tc>
          <w:tcPr>
            <w:tcW w:type="dxa" w:w="2000"/>
            <w:shd w:fill="FFFFFF" w:val="clear"/>
            <w:tcMar>
              <w:top w:type="dxa" w:w="80"/>
              <w:left w:type="dxa" w:w="120"/>
              <w:bottom w:type="dxa" w:w="80"/>
              <w:right w:type="dxa" w:w="120"/>
            </w:tcMar>
          </w:tcPr>
          <w:p>
            <w:r>
              <w:rPr>
                <w:sz w:val="20"/>
                <w:szCs w:val="20"/>
              </w:rPr>
              <w:t xml:space="preserve">semantic_memory</w:t>
            </w:r>
          </w:p>
        </w:tc>
        <w:tc>
          <w:tcPr>
            <w:tcW w:type="dxa" w:w="2550"/>
            <w:shd w:fill="FFFFFF" w:val="clear"/>
            <w:tcMar>
              <w:top w:type="dxa" w:w="80"/>
              <w:left w:type="dxa" w:w="120"/>
              <w:bottom w:type="dxa" w:w="80"/>
              <w:right w:type="dxa" w:w="120"/>
            </w:tcMar>
          </w:tcPr>
          <w:p>
            <w:r>
              <w:rPr>
                <w:sz w:val="20"/>
                <w:szCs w:val="20"/>
              </w:rPr>
              <w:t xml:space="preserve">Vector similarity + metadata</w:t>
            </w:r>
          </w:p>
        </w:tc>
      </w:tr>
      <w:tr>
        <w:tc>
          <w:tcPr>
            <w:tcW w:type="dxa" w:w="2200"/>
            <w:shd w:fill="F2F6FB" w:val="clear"/>
            <w:tcMar>
              <w:top w:type="dxa" w:w="80"/>
              <w:left w:type="dxa" w:w="120"/>
              <w:bottom w:type="dxa" w:w="80"/>
              <w:right w:type="dxa" w:w="120"/>
            </w:tcMar>
          </w:tcPr>
          <w:p>
            <w:r>
              <w:rPr>
                <w:sz w:val="20"/>
                <w:szCs w:val="20"/>
              </w:rPr>
              <w:t xml:space="preserve">Procedural Memory</w:t>
            </w:r>
          </w:p>
        </w:tc>
        <w:tc>
          <w:tcPr>
            <w:tcW w:type="dxa" w:w="2600"/>
            <w:shd w:fill="F2F6FB" w:val="clear"/>
            <w:tcMar>
              <w:top w:type="dxa" w:w="80"/>
              <w:left w:type="dxa" w:w="120"/>
              <w:bottom w:type="dxa" w:w="80"/>
              <w:right w:type="dxa" w:w="120"/>
            </w:tcMar>
          </w:tcPr>
          <w:p>
            <w:r>
              <w:rPr>
                <w:sz w:val="20"/>
                <w:szCs w:val="20"/>
              </w:rPr>
              <w:t xml:space="preserve">Workflows, playbooks, discovery guides</w:t>
            </w:r>
          </w:p>
        </w:tc>
        <w:tc>
          <w:tcPr>
            <w:tcW w:type="dxa" w:w="2000"/>
            <w:shd w:fill="F2F6FB" w:val="clear"/>
            <w:tcMar>
              <w:top w:type="dxa" w:w="80"/>
              <w:left w:type="dxa" w:w="120"/>
              <w:bottom w:type="dxa" w:w="80"/>
              <w:right w:type="dxa" w:w="120"/>
            </w:tcMar>
          </w:tcPr>
          <w:p>
            <w:r>
              <w:rPr>
                <w:sz w:val="20"/>
                <w:szCs w:val="20"/>
              </w:rPr>
              <w:t xml:space="preserve">playbooks</w:t>
            </w:r>
          </w:p>
        </w:tc>
        <w:tc>
          <w:tcPr>
            <w:tcW w:type="dxa" w:w="2550"/>
            <w:shd w:fill="F2F6FB" w:val="clear"/>
            <w:tcMar>
              <w:top w:type="dxa" w:w="80"/>
              <w:left w:type="dxa" w:w="120"/>
              <w:bottom w:type="dxa" w:w="80"/>
              <w:right w:type="dxa" w:w="120"/>
            </w:tcMar>
          </w:tcPr>
          <w:p>
            <w:r>
              <w:rPr>
                <w:sz w:val="20"/>
                <w:szCs w:val="20"/>
              </w:rPr>
              <w:t xml:space="preserve">Structured / intent-metadata retrieval</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E5" w:val="clear"/>
            <w:tcMar>
              <w:top w:type="dxa" w:w="150"/>
              <w:left w:type="dxa" w:w="200"/>
              <w:bottom w:type="dxa" w:w="150"/>
              <w:right w:type="dxa" w:w="200"/>
            </w:tcMar>
          </w:tcPr>
          <w:p>
            <w:pPr>
              <w:spacing w:after="100"/>
            </w:pPr>
            <w:r>
              <w:rPr>
                <w:b/>
                <w:bCs/>
                <w:color w:val="9C5700"/>
              </w:rPr>
              <w:t xml:space="preserve">Why this restoration matters</w:t>
            </w:r>
          </w:p>
          <w:p>
            <w:pPr>
              <w:spacing w:after="60"/>
            </w:pPr>
            <w:r>
              <w:rPr>
                <w:color w:val="594100"/>
              </w:rPr>
              <w:t xml:space="preserve">The flagship demo question — "Who is Acme?" — is a long-term-memory lookup, not a semantic search. Without a dedicated customers collection, the opening moment of the demo has no clean answer.</w:t>
            </w:r>
          </w:p>
        </w:tc>
      </w:tr>
    </w:tbl>
    <w:p>
      <w:pPr>
        <w:spacing w:after="120"/>
      </w:pPr>
    </w:p>
    <w:p>
      <w:pPr>
        <w:pStyle w:val="Heading2"/>
        <w:spacing w:after="120" w:before="260"/>
      </w:pPr>
      <w:r>
        <w:t xml:space="preserve">Retrieval Matrix</w:t>
      </w:r>
    </w:p>
    <w:p>
      <w:pPr>
        <w:spacing w:after="160"/>
      </w:pPr>
      <w:r>
        <w:t xml:space="preserve">Maps natural demo questions onto the memory types they exercise — useful both as a design check and as a live-demo cheat sheet.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50"/>
      </w:tblGrid>
      <w:tr>
        <w:trPr>
          <w:tblHeader/>
        </w:trPr>
        <w:tc>
          <w:tcPr>
            <w:tcW w:type="dxa" w:w="3600"/>
            <w:shd w:fill="2F5496" w:val="clear"/>
            <w:tcMar>
              <w:top w:type="dxa" w:w="80"/>
              <w:left w:type="dxa" w:w="120"/>
              <w:bottom w:type="dxa" w:w="80"/>
              <w:right w:type="dxa" w:w="120"/>
            </w:tcMar>
          </w:tcPr>
          <w:p>
            <w:r>
              <w:rPr>
                <w:b/>
                <w:bCs/>
                <w:color w:val="FFFFFF"/>
                <w:sz w:val="20"/>
                <w:szCs w:val="20"/>
              </w:rPr>
              <w:t xml:space="preserve">Question</w:t>
            </w:r>
          </w:p>
        </w:tc>
        <w:tc>
          <w:tcPr>
            <w:tcW w:type="dxa" w:w="2500"/>
            <w:shd w:fill="2F5496" w:val="clear"/>
            <w:tcMar>
              <w:top w:type="dxa" w:w="80"/>
              <w:left w:type="dxa" w:w="120"/>
              <w:bottom w:type="dxa" w:w="80"/>
              <w:right w:type="dxa" w:w="120"/>
            </w:tcMar>
          </w:tcPr>
          <w:p>
            <w:r>
              <w:rPr>
                <w:b/>
                <w:bCs/>
                <w:color w:val="FFFFFF"/>
                <w:sz w:val="20"/>
                <w:szCs w:val="20"/>
              </w:rPr>
              <w:t xml:space="preserve">Memory Used</w:t>
            </w:r>
          </w:p>
        </w:tc>
        <w:tc>
          <w:tcPr>
            <w:tcW w:type="dxa" w:w="3250"/>
            <w:shd w:fill="2F5496" w:val="clear"/>
            <w:tcMar>
              <w:top w:type="dxa" w:w="80"/>
              <w:left w:type="dxa" w:w="120"/>
              <w:bottom w:type="dxa" w:w="80"/>
              <w:right w:type="dxa" w:w="120"/>
            </w:tcMar>
          </w:tcPr>
          <w:p>
            <w:r>
              <w:rPr>
                <w:b/>
                <w:bCs/>
                <w:color w:val="FFFFFF"/>
                <w:sz w:val="20"/>
                <w:szCs w:val="20"/>
              </w:rPr>
              <w:t xml:space="preserve">Retrieval</w:t>
            </w:r>
          </w:p>
        </w:tc>
      </w:tr>
      <w:tr>
        <w:tc>
          <w:tcPr>
            <w:tcW w:type="dxa" w:w="3600"/>
            <w:shd w:fill="FFFFFF" w:val="clear"/>
            <w:tcMar>
              <w:top w:type="dxa" w:w="80"/>
              <w:left w:type="dxa" w:w="120"/>
              <w:bottom w:type="dxa" w:w="80"/>
              <w:right w:type="dxa" w:w="120"/>
            </w:tcMar>
          </w:tcPr>
          <w:p>
            <w:r>
              <w:rPr>
                <w:sz w:val="20"/>
                <w:szCs w:val="20"/>
              </w:rPr>
              <w:t xml:space="preserve">Who is Acme?</w:t>
            </w:r>
          </w:p>
        </w:tc>
        <w:tc>
          <w:tcPr>
            <w:tcW w:type="dxa" w:w="2500"/>
            <w:shd w:fill="FFFFFF" w:val="clear"/>
            <w:tcMar>
              <w:top w:type="dxa" w:w="80"/>
              <w:left w:type="dxa" w:w="120"/>
              <w:bottom w:type="dxa" w:w="80"/>
              <w:right w:type="dxa" w:w="120"/>
            </w:tcMar>
          </w:tcPr>
          <w:p>
            <w:r>
              <w:rPr>
                <w:sz w:val="20"/>
                <w:szCs w:val="20"/>
              </w:rPr>
              <w:t xml:space="preserve">Long-Term</w:t>
            </w:r>
          </w:p>
        </w:tc>
        <w:tc>
          <w:tcPr>
            <w:tcW w:type="dxa" w:w="3250"/>
            <w:shd w:fill="FFFFFF" w:val="clear"/>
            <w:tcMar>
              <w:top w:type="dxa" w:w="80"/>
              <w:left w:type="dxa" w:w="120"/>
              <w:bottom w:type="dxa" w:w="80"/>
              <w:right w:type="dxa" w:w="120"/>
            </w:tcMar>
          </w:tcPr>
          <w:p>
            <w:r>
              <w:rPr>
                <w:sz w:val="20"/>
                <w:szCs w:val="20"/>
              </w:rPr>
              <w:t xml:space="preserve">Customer lookup</w:t>
            </w:r>
          </w:p>
        </w:tc>
      </w:tr>
      <w:tr>
        <w:tc>
          <w:tcPr>
            <w:tcW w:type="dxa" w:w="3600"/>
            <w:shd w:fill="F2F6FB" w:val="clear"/>
            <w:tcMar>
              <w:top w:type="dxa" w:w="80"/>
              <w:left w:type="dxa" w:w="120"/>
              <w:bottom w:type="dxa" w:w="80"/>
              <w:right w:type="dxa" w:w="120"/>
            </w:tcMar>
          </w:tcPr>
          <w:p>
            <w:r>
              <w:rPr>
                <w:sz w:val="20"/>
                <w:szCs w:val="20"/>
              </w:rPr>
              <w:t xml:space="preserve">What do we know about Acme's challenges?</w:t>
            </w:r>
          </w:p>
        </w:tc>
        <w:tc>
          <w:tcPr>
            <w:tcW w:type="dxa" w:w="2500"/>
            <w:shd w:fill="F2F6FB" w:val="clear"/>
            <w:tcMar>
              <w:top w:type="dxa" w:w="80"/>
              <w:left w:type="dxa" w:w="120"/>
              <w:bottom w:type="dxa" w:w="80"/>
              <w:right w:type="dxa" w:w="120"/>
            </w:tcMar>
          </w:tcPr>
          <w:p>
            <w:r>
              <w:rPr>
                <w:sz w:val="20"/>
                <w:szCs w:val="20"/>
              </w:rPr>
              <w:t xml:space="preserve">Long-Term + Semantic</w:t>
            </w:r>
          </w:p>
        </w:tc>
        <w:tc>
          <w:tcPr>
            <w:tcW w:type="dxa" w:w="3250"/>
            <w:shd w:fill="F2F6FB" w:val="clear"/>
            <w:tcMar>
              <w:top w:type="dxa" w:w="80"/>
              <w:left w:type="dxa" w:w="120"/>
              <w:bottom w:type="dxa" w:w="80"/>
              <w:right w:type="dxa" w:w="120"/>
            </w:tcMar>
          </w:tcPr>
          <w:p>
            <w:r>
              <w:rPr>
                <w:sz w:val="20"/>
                <w:szCs w:val="20"/>
              </w:rPr>
              <w:t xml:space="preserve">Document + vector</w:t>
            </w:r>
          </w:p>
        </w:tc>
      </w:tr>
      <w:tr>
        <w:tc>
          <w:tcPr>
            <w:tcW w:type="dxa" w:w="3600"/>
            <w:shd w:fill="FFFFFF" w:val="clear"/>
            <w:tcMar>
              <w:top w:type="dxa" w:w="80"/>
              <w:left w:type="dxa" w:w="120"/>
              <w:bottom w:type="dxa" w:w="80"/>
              <w:right w:type="dxa" w:w="120"/>
            </w:tcMar>
          </w:tcPr>
          <w:p>
            <w:r>
              <w:rPr>
                <w:sz w:val="20"/>
                <w:szCs w:val="20"/>
              </w:rPr>
              <w:t xml:space="preserve">What happened in the last meeting?</w:t>
            </w:r>
          </w:p>
        </w:tc>
        <w:tc>
          <w:tcPr>
            <w:tcW w:type="dxa" w:w="2500"/>
            <w:shd w:fill="FFFFFF" w:val="clear"/>
            <w:tcMar>
              <w:top w:type="dxa" w:w="80"/>
              <w:left w:type="dxa" w:w="120"/>
              <w:bottom w:type="dxa" w:w="80"/>
              <w:right w:type="dxa" w:w="120"/>
            </w:tcMar>
          </w:tcPr>
          <w:p>
            <w:r>
              <w:rPr>
                <w:sz w:val="20"/>
                <w:szCs w:val="20"/>
              </w:rPr>
              <w:t xml:space="preserve">Episodic</w:t>
            </w:r>
          </w:p>
        </w:tc>
        <w:tc>
          <w:tcPr>
            <w:tcW w:type="dxa" w:w="3250"/>
            <w:shd w:fill="FFFFFF" w:val="clear"/>
            <w:tcMar>
              <w:top w:type="dxa" w:w="80"/>
              <w:left w:type="dxa" w:w="120"/>
              <w:bottom w:type="dxa" w:w="80"/>
              <w:right w:type="dxa" w:w="120"/>
            </w:tcMar>
          </w:tcPr>
          <w:p>
            <w:r>
              <w:rPr>
                <w:sz w:val="20"/>
                <w:szCs w:val="20"/>
              </w:rPr>
              <w:t xml:space="preserve">Event query</w:t>
            </w:r>
          </w:p>
        </w:tc>
      </w:tr>
      <w:tr>
        <w:tc>
          <w:tcPr>
            <w:tcW w:type="dxa" w:w="3600"/>
            <w:shd w:fill="F2F6FB" w:val="clear"/>
            <w:tcMar>
              <w:top w:type="dxa" w:w="80"/>
              <w:left w:type="dxa" w:w="120"/>
              <w:bottom w:type="dxa" w:w="80"/>
              <w:right w:type="dxa" w:w="120"/>
            </w:tcMar>
          </w:tcPr>
          <w:p>
            <w:r>
              <w:rPr>
                <w:sz w:val="20"/>
                <w:szCs w:val="20"/>
              </w:rPr>
              <w:t xml:space="preserve">How should we handle this?</w:t>
            </w:r>
          </w:p>
        </w:tc>
        <w:tc>
          <w:tcPr>
            <w:tcW w:type="dxa" w:w="2500"/>
            <w:shd w:fill="F2F6FB" w:val="clear"/>
            <w:tcMar>
              <w:top w:type="dxa" w:w="80"/>
              <w:left w:type="dxa" w:w="120"/>
              <w:bottom w:type="dxa" w:w="80"/>
              <w:right w:type="dxa" w:w="120"/>
            </w:tcMar>
          </w:tcPr>
          <w:p>
            <w:r>
              <w:rPr>
                <w:sz w:val="20"/>
                <w:szCs w:val="20"/>
              </w:rPr>
              <w:t xml:space="preserve">Procedural</w:t>
            </w:r>
          </w:p>
        </w:tc>
        <w:tc>
          <w:tcPr>
            <w:tcW w:type="dxa" w:w="3250"/>
            <w:shd w:fill="F2F6FB" w:val="clear"/>
            <w:tcMar>
              <w:top w:type="dxa" w:w="80"/>
              <w:left w:type="dxa" w:w="120"/>
              <w:bottom w:type="dxa" w:w="80"/>
              <w:right w:type="dxa" w:w="120"/>
            </w:tcMar>
          </w:tcPr>
          <w:p>
            <w:r>
              <w:rPr>
                <w:sz w:val="20"/>
                <w:szCs w:val="20"/>
              </w:rPr>
              <w:t xml:space="preserve">Playbook retrieval</w:t>
            </w:r>
          </w:p>
        </w:tc>
      </w:tr>
      <w:tr>
        <w:tc>
          <w:tcPr>
            <w:tcW w:type="dxa" w:w="3600"/>
            <w:shd w:fill="FFFFFF" w:val="clear"/>
            <w:tcMar>
              <w:top w:type="dxa" w:w="80"/>
              <w:left w:type="dxa" w:w="120"/>
              <w:bottom w:type="dxa" w:w="80"/>
              <w:right w:type="dxa" w:w="120"/>
            </w:tcMar>
          </w:tcPr>
          <w:p>
            <w:r>
              <w:rPr>
                <w:sz w:val="20"/>
                <w:szCs w:val="20"/>
              </w:rPr>
              <w:t xml:space="preserve">What did we discuss recently?</w:t>
            </w:r>
          </w:p>
        </w:tc>
        <w:tc>
          <w:tcPr>
            <w:tcW w:type="dxa" w:w="2500"/>
            <w:shd w:fill="FFFFFF" w:val="clear"/>
            <w:tcMar>
              <w:top w:type="dxa" w:w="80"/>
              <w:left w:type="dxa" w:w="120"/>
              <w:bottom w:type="dxa" w:w="80"/>
              <w:right w:type="dxa" w:w="120"/>
            </w:tcMar>
          </w:tcPr>
          <w:p>
            <w:r>
              <w:rPr>
                <w:sz w:val="20"/>
                <w:szCs w:val="20"/>
              </w:rPr>
              <w:t xml:space="preserve">Short-Term + Episodic</w:t>
            </w:r>
          </w:p>
        </w:tc>
        <w:tc>
          <w:tcPr>
            <w:tcW w:type="dxa" w:w="3250"/>
            <w:shd w:fill="FFFFFF" w:val="clear"/>
            <w:tcMar>
              <w:top w:type="dxa" w:w="80"/>
              <w:left w:type="dxa" w:w="120"/>
              <w:bottom w:type="dxa" w:w="80"/>
              <w:right w:type="dxa" w:w="120"/>
            </w:tcMar>
          </w:tcPr>
          <w:p>
            <w:r>
              <w:rPr>
                <w:sz w:val="20"/>
                <w:szCs w:val="20"/>
              </w:rPr>
              <w:t xml:space="preserve">Session / event lookup</w:t>
            </w:r>
          </w:p>
        </w:tc>
      </w:tr>
    </w:tbl>
    <w:p>
      <w:pPr>
        <w:pStyle w:val="Heading1"/>
        <w:spacing w:after="160" w:before="360"/>
      </w:pPr>
      <w:r>
        <w:t xml:space="preserve">7. Capella Data Model</w:t>
      </w:r>
    </w:p>
    <w:p>
      <w:pPr>
        <w:spacing w:after="160"/>
      </w:pPr>
      <w:r>
        <w:t xml:space="preserve">Three scopes, each with a different purpose — locked as final. Agent scope holds ephemeral cognition and active conversation state. Knowledge scope holds persistent information the agent can learn from and reason over, including source_documents: raw artifacts are accumulated organizational knowledge at their earliest representation, not application plumbing, so they belong with the rest of Knowledge rather than in a separate fourth scope. System Intelligence scope holds configuration, routing decisions, and operational observability — explicitly not memory.</w:t>
      </w:r>
    </w:p>
    <w:p>
      <w:pPr>
        <w:pStyle w:val="Heading2"/>
        <w:spacing w:after="120" w:before="260"/>
      </w:pPr>
      <w:r>
        <w:t xml:space="preserve">Domain Structure</w:t>
      </w:r>
    </w:p>
    <w:p>
      <w:pPr>
        <w:shd w:fill="F2F2F2" w:val="clear"/>
        <w:spacing w:after="40"/>
      </w:pPr>
      <w:r>
        <w:rPr>
          <w:rFonts w:ascii="Consolas" w:cs="Consolas" w:eastAsia="Consolas" w:hAnsi="Consolas"/>
          <w:sz w:val="18"/>
          <w:szCs w:val="18"/>
        </w:rPr>
        <w:t xml:space="preserve">Couchbase Bucket: agent_memory</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AGENT SCOPE  (ephemeral cognition and active conversation state)</w:t>
      </w:r>
    </w:p>
    <w:p>
      <w:pPr>
        <w:shd w:fill="F2F2F2" w:val="clear"/>
        <w:spacing w:after="40"/>
      </w:pPr>
      <w:r>
        <w:rPr>
          <w:rFonts w:ascii="Consolas" w:cs="Consolas" w:eastAsia="Consolas" w:hAnsi="Consolas"/>
          <w:sz w:val="18"/>
          <w:szCs w:val="18"/>
        </w:rPr>
        <w:t xml:space="preserve">  working_memory</w:t>
      </w:r>
    </w:p>
    <w:p>
      <w:pPr>
        <w:shd w:fill="F2F2F2" w:val="clear"/>
        <w:spacing w:after="40"/>
      </w:pPr>
      <w:r>
        <w:rPr>
          <w:rFonts w:ascii="Consolas" w:cs="Consolas" w:eastAsia="Consolas" w:hAnsi="Consolas"/>
          <w:sz w:val="18"/>
          <w:szCs w:val="18"/>
        </w:rPr>
        <w:t xml:space="preserve">  short_term_memory</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KNOWLEDGE SCOPE  (persistent information the agent learns from and reasons over)</w:t>
      </w:r>
    </w:p>
    <w:p>
      <w:pPr>
        <w:shd w:fill="F2F2F2" w:val="clear"/>
        <w:spacing w:after="40"/>
      </w:pPr>
      <w:r>
        <w:rPr>
          <w:rFonts w:ascii="Consolas" w:cs="Consolas" w:eastAsia="Consolas" w:hAnsi="Consolas"/>
          <w:sz w:val="18"/>
          <w:szCs w:val="18"/>
        </w:rPr>
        <w:t xml:space="preserve">  source_documents   (Knowledge Ingestion Layer — earliest representation)</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                                 |</w:t>
      </w:r>
    </w:p>
    <w:p>
      <w:pPr>
        <w:shd w:fill="F2F2F2" w:val="clear"/>
        <w:spacing w:after="40"/>
      </w:pPr>
      <w:r>
        <w:rPr>
          <w:rFonts w:ascii="Consolas" w:cs="Consolas" w:eastAsia="Consolas" w:hAnsi="Consolas"/>
          <w:sz w:val="18"/>
          <w:szCs w:val="18"/>
        </w:rPr>
        <w:t xml:space="preserve">  customers          events        semantic_memory        playbooks</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SYSTEM INTELLIGENCE SCOPE  (configuration, routing, observability — not memory)</w:t>
      </w:r>
    </w:p>
    <w:p>
      <w:pPr>
        <w:shd w:fill="F2F2F2" w:val="clear"/>
        <w:spacing w:after="40"/>
      </w:pPr>
      <w:r>
        <w:rPr>
          <w:rFonts w:ascii="Consolas" w:cs="Consolas" w:eastAsia="Consolas" w:hAnsi="Consolas"/>
          <w:sz w:val="18"/>
          <w:szCs w:val="18"/>
        </w:rPr>
        <w:t xml:space="preserve">  memory_intent_patterns</w:t>
      </w:r>
    </w:p>
    <w:p>
      <w:pPr>
        <w:shd w:fill="F2F2F2" w:val="clear"/>
        <w:spacing w:after="40"/>
      </w:pPr>
      <w:r>
        <w:rPr>
          <w:rFonts w:ascii="Consolas" w:cs="Consolas" w:eastAsia="Consolas" w:hAnsi="Consolas"/>
          <w:sz w:val="18"/>
          <w:szCs w:val="18"/>
        </w:rPr>
        <w:t xml:space="preserve">  routing_traces</w:t>
      </w:r>
    </w:p>
    <w:p>
      <w:pPr>
        <w:shd w:fill="F2F2F2" w:val="clear"/>
        <w:spacing w:after="40"/>
      </w:pPr>
      <w:r>
        <w:rPr>
          <w:rFonts w:ascii="Consolas" w:cs="Consolas" w:eastAsia="Consolas" w:hAnsi="Consolas"/>
          <w:sz w:val="18"/>
          <w:szCs w:val="18"/>
        </w:rPr>
        <w:t xml:space="preserve">  memory_audit</w:t>
      </w:r>
    </w:p>
    <w:p>
      <w:pPr>
        <w:spacing w:after="120"/>
      </w:pPr>
    </w:p>
    <w:p>
      <w:pPr>
        <w:spacing w:after="160"/>
      </w:pPr>
      <w:r>
        <w:t xml:space="preserve">The resulting story reads cleanly in three layers:</w:t>
      </w:r>
    </w:p>
    <w:p>
      <w:pPr>
        <w:shd w:fill="F2F2F2" w:val="clear"/>
        <w:spacing w:after="40"/>
      </w:pPr>
      <w:r>
        <w:rPr>
          <w:rFonts w:ascii="Consolas" w:cs="Consolas" w:eastAsia="Consolas" w:hAnsi="Consolas"/>
          <w:sz w:val="18"/>
          <w:szCs w:val="18"/>
        </w:rPr>
        <w:t xml:space="preserve">Knowledge Ingestion Layer  -&gt;  Knowledge Memory Layer  -&gt;  Agent Reasoning Layer</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E5" w:val="clear"/>
            <w:tcMar>
              <w:top w:type="dxa" w:w="150"/>
              <w:left w:type="dxa" w:w="200"/>
              <w:bottom w:type="dxa" w:w="150"/>
              <w:right w:type="dxa" w:w="200"/>
            </w:tcMar>
          </w:tcPr>
          <w:p>
            <w:pPr>
              <w:spacing w:after="100"/>
            </w:pPr>
            <w:r>
              <w:rPr>
                <w:b/>
                <w:bCs/>
                <w:color w:val="9C5700"/>
              </w:rPr>
              <w:t xml:space="preserve">Locked: source_documents lives in Knowledge scope</w:t>
            </w:r>
          </w:p>
          <w:p>
            <w:pPr>
              <w:spacing w:after="60"/>
            </w:pPr>
            <w:r>
              <w:rPr>
                <w:color w:val="594100"/>
              </w:rPr>
              <w:t xml:space="preserve">The governing distinction is application state vs. accumulated information — not raw vs. processed. source_documents is accumulated information at its earliest stage, so it belongs alongside customers, events, semantic_memory, and playbooks rather than in a separate scope.</w:t>
            </w:r>
          </w:p>
          <w:p>
            <w:pPr>
              <w:spacing w:after="60"/>
            </w:pPr>
            <w:r>
              <w:rPr>
                <w:color w:val="594100"/>
              </w:rPr>
              <w:t xml:space="preserve">Agent scope = what the agent is currently thinking about. Knowledge scope = what the organization knows and has experienced. System Intelligence scope = how the agent decides, explains, and governs its behavior.</w:t>
            </w:r>
          </w:p>
        </w:tc>
      </w:tr>
    </w:tbl>
    <w:p>
      <w:pPr>
        <w:spacing w:after="120"/>
      </w:pPr>
    </w:p>
    <w:p>
      <w:pPr>
        <w:pStyle w:val="Heading2"/>
        <w:spacing w:after="120" w:before="260"/>
      </w:pPr>
      <w:r>
        <w:t xml:space="preserve">Collection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3000"/>
        <w:gridCol w:w="2300"/>
      </w:tblGrid>
      <w:tr>
        <w:trPr>
          <w:tblHeader/>
        </w:trPr>
        <w:tc>
          <w:tcPr>
            <w:tcW w:type="dxa" w:w="2300"/>
            <w:shd w:fill="2F5496" w:val="clear"/>
            <w:tcMar>
              <w:top w:type="dxa" w:w="80"/>
              <w:left w:type="dxa" w:w="120"/>
              <w:bottom w:type="dxa" w:w="80"/>
              <w:right w:type="dxa" w:w="120"/>
            </w:tcMar>
          </w:tcPr>
          <w:p>
            <w:r>
              <w:rPr>
                <w:b/>
                <w:bCs/>
                <w:color w:val="FFFFFF"/>
                <w:sz w:val="20"/>
                <w:szCs w:val="20"/>
              </w:rPr>
              <w:t xml:space="preserve">Collection</w:t>
            </w:r>
          </w:p>
        </w:tc>
        <w:tc>
          <w:tcPr>
            <w:tcW w:type="dxa" w:w="1750"/>
            <w:shd w:fill="2F5496" w:val="clear"/>
            <w:tcMar>
              <w:top w:type="dxa" w:w="80"/>
              <w:left w:type="dxa" w:w="120"/>
              <w:bottom w:type="dxa" w:w="80"/>
              <w:right w:type="dxa" w:w="120"/>
            </w:tcMar>
          </w:tcPr>
          <w:p>
            <w:r>
              <w:rPr>
                <w:b/>
                <w:bCs/>
                <w:color w:val="FFFFFF"/>
                <w:sz w:val="20"/>
                <w:szCs w:val="20"/>
              </w:rPr>
              <w:t xml:space="preserve">Scope</w:t>
            </w:r>
          </w:p>
        </w:tc>
        <w:tc>
          <w:tcPr>
            <w:tcW w:type="dxa" w:w="3000"/>
            <w:shd w:fill="2F5496" w:val="clear"/>
            <w:tcMar>
              <w:top w:type="dxa" w:w="80"/>
              <w:left w:type="dxa" w:w="120"/>
              <w:bottom w:type="dxa" w:w="80"/>
              <w:right w:type="dxa" w:w="120"/>
            </w:tcMar>
          </w:tcPr>
          <w:p>
            <w:r>
              <w:rPr>
                <w:b/>
                <w:bCs/>
                <w:color w:val="FFFFFF"/>
                <w:sz w:val="20"/>
                <w:szCs w:val="20"/>
              </w:rPr>
              <w:t xml:space="preserve">Purpose</w:t>
            </w:r>
          </w:p>
        </w:tc>
        <w:tc>
          <w:tcPr>
            <w:tcW w:type="dxa" w:w="2300"/>
            <w:shd w:fill="2F5496" w:val="clear"/>
            <w:tcMar>
              <w:top w:type="dxa" w:w="80"/>
              <w:left w:type="dxa" w:w="120"/>
              <w:bottom w:type="dxa" w:w="80"/>
              <w:right w:type="dxa" w:w="120"/>
            </w:tcMar>
          </w:tcPr>
          <w:p>
            <w:r>
              <w:rPr>
                <w:b/>
                <w:bCs/>
                <w:color w:val="FFFFFF"/>
                <w:sz w:val="20"/>
                <w:szCs w:val="20"/>
              </w:rPr>
              <w:t xml:space="preserve">Retrieval</w:t>
            </w:r>
          </w:p>
        </w:tc>
      </w:tr>
      <w:tr>
        <w:tc>
          <w:tcPr>
            <w:tcW w:type="dxa" w:w="2300"/>
            <w:shd w:fill="FFFFFF" w:val="clear"/>
            <w:tcMar>
              <w:top w:type="dxa" w:w="80"/>
              <w:left w:type="dxa" w:w="120"/>
              <w:bottom w:type="dxa" w:w="80"/>
              <w:right w:type="dxa" w:w="120"/>
            </w:tcMar>
          </w:tcPr>
          <w:p>
            <w:r>
              <w:rPr>
                <w:sz w:val="20"/>
                <w:szCs w:val="20"/>
              </w:rPr>
              <w:t xml:space="preserve">working_memory</w:t>
            </w:r>
          </w:p>
        </w:tc>
        <w:tc>
          <w:tcPr>
            <w:tcW w:type="dxa" w:w="1750"/>
            <w:shd w:fill="FFFFFF" w:val="clear"/>
            <w:tcMar>
              <w:top w:type="dxa" w:w="80"/>
              <w:left w:type="dxa" w:w="120"/>
              <w:bottom w:type="dxa" w:w="80"/>
              <w:right w:type="dxa" w:w="120"/>
            </w:tcMar>
          </w:tcPr>
          <w:p>
            <w:r>
              <w:rPr>
                <w:sz w:val="20"/>
                <w:szCs w:val="20"/>
              </w:rPr>
              <w:t xml:space="preserve">Agent</w:t>
            </w:r>
          </w:p>
        </w:tc>
        <w:tc>
          <w:tcPr>
            <w:tcW w:type="dxa" w:w="3000"/>
            <w:shd w:fill="FFFFFF" w:val="clear"/>
            <w:tcMar>
              <w:top w:type="dxa" w:w="80"/>
              <w:left w:type="dxa" w:w="120"/>
              <w:bottom w:type="dxa" w:w="80"/>
              <w:right w:type="dxa" w:w="120"/>
            </w:tcMar>
          </w:tcPr>
          <w:p>
            <w:r>
              <w:rPr>
                <w:sz w:val="20"/>
                <w:szCs w:val="20"/>
              </w:rPr>
              <w:t xml:space="preserve">Active reasoning state</w:t>
            </w:r>
          </w:p>
        </w:tc>
        <w:tc>
          <w:tcPr>
            <w:tcW w:type="dxa" w:w="2300"/>
            <w:shd w:fill="FFFFFF" w:val="clear"/>
            <w:tcMar>
              <w:top w:type="dxa" w:w="80"/>
              <w:left w:type="dxa" w:w="120"/>
              <w:bottom w:type="dxa" w:w="80"/>
              <w:right w:type="dxa" w:w="120"/>
            </w:tcMar>
          </w:tcPr>
          <w:p>
            <w:r>
              <w:rPr>
                <w:sz w:val="20"/>
                <w:szCs w:val="20"/>
              </w:rPr>
              <w:t xml:space="preserve">In-process / direct</w:t>
            </w:r>
          </w:p>
        </w:tc>
      </w:tr>
      <w:tr>
        <w:tc>
          <w:tcPr>
            <w:tcW w:type="dxa" w:w="2300"/>
            <w:shd w:fill="F2F6FB" w:val="clear"/>
            <w:tcMar>
              <w:top w:type="dxa" w:w="80"/>
              <w:left w:type="dxa" w:w="120"/>
              <w:bottom w:type="dxa" w:w="80"/>
              <w:right w:type="dxa" w:w="120"/>
            </w:tcMar>
          </w:tcPr>
          <w:p>
            <w:r>
              <w:rPr>
                <w:sz w:val="20"/>
                <w:szCs w:val="20"/>
              </w:rPr>
              <w:t xml:space="preserve">short_term_memory</w:t>
            </w:r>
          </w:p>
        </w:tc>
        <w:tc>
          <w:tcPr>
            <w:tcW w:type="dxa" w:w="1750"/>
            <w:shd w:fill="F2F6FB" w:val="clear"/>
            <w:tcMar>
              <w:top w:type="dxa" w:w="80"/>
              <w:left w:type="dxa" w:w="120"/>
              <w:bottom w:type="dxa" w:w="80"/>
              <w:right w:type="dxa" w:w="120"/>
            </w:tcMar>
          </w:tcPr>
          <w:p>
            <w:r>
              <w:rPr>
                <w:sz w:val="20"/>
                <w:szCs w:val="20"/>
              </w:rPr>
              <w:t xml:space="preserve">Agent</w:t>
            </w:r>
          </w:p>
        </w:tc>
        <w:tc>
          <w:tcPr>
            <w:tcW w:type="dxa" w:w="3000"/>
            <w:shd w:fill="F2F6FB" w:val="clear"/>
            <w:tcMar>
              <w:top w:type="dxa" w:w="80"/>
              <w:left w:type="dxa" w:w="120"/>
              <w:bottom w:type="dxa" w:w="80"/>
              <w:right w:type="dxa" w:w="120"/>
            </w:tcMar>
          </w:tcPr>
          <w:p>
            <w:r>
              <w:rPr>
                <w:sz w:val="20"/>
                <w:szCs w:val="20"/>
              </w:rPr>
              <w:t xml:space="preserve">Session continuity</w:t>
            </w:r>
          </w:p>
        </w:tc>
        <w:tc>
          <w:tcPr>
            <w:tcW w:type="dxa" w:w="2300"/>
            <w:shd w:fill="F2F6FB" w:val="clear"/>
            <w:tcMar>
              <w:top w:type="dxa" w:w="80"/>
              <w:left w:type="dxa" w:w="120"/>
              <w:bottom w:type="dxa" w:w="80"/>
              <w:right w:type="dxa" w:w="120"/>
            </w:tcMar>
          </w:tcPr>
          <w:p>
            <w:r>
              <w:rPr>
                <w:sz w:val="20"/>
                <w:szCs w:val="20"/>
              </w:rPr>
              <w:t xml:space="preserve">Session document lookup</w:t>
            </w:r>
          </w:p>
        </w:tc>
      </w:tr>
      <w:tr>
        <w:tc>
          <w:tcPr>
            <w:tcW w:type="dxa" w:w="2300"/>
            <w:shd w:fill="FFFFFF" w:val="clear"/>
            <w:tcMar>
              <w:top w:type="dxa" w:w="80"/>
              <w:left w:type="dxa" w:w="120"/>
              <w:bottom w:type="dxa" w:w="80"/>
              <w:right w:type="dxa" w:w="120"/>
            </w:tcMar>
          </w:tcPr>
          <w:p>
            <w:r>
              <w:rPr>
                <w:sz w:val="20"/>
                <w:szCs w:val="20"/>
              </w:rPr>
              <w:t xml:space="preserve">source_documents</w:t>
            </w:r>
          </w:p>
        </w:tc>
        <w:tc>
          <w:tcPr>
            <w:tcW w:type="dxa" w:w="1750"/>
            <w:shd w:fill="FFFFFF" w:val="clear"/>
            <w:tcMar>
              <w:top w:type="dxa" w:w="80"/>
              <w:left w:type="dxa" w:w="120"/>
              <w:bottom w:type="dxa" w:w="80"/>
              <w:right w:type="dxa" w:w="120"/>
            </w:tcMar>
          </w:tcPr>
          <w:p>
            <w:r>
              <w:rPr>
                <w:sz w:val="20"/>
                <w:szCs w:val="20"/>
              </w:rPr>
              <w:t xml:space="preserve">Knowledge</w:t>
            </w:r>
          </w:p>
        </w:tc>
        <w:tc>
          <w:tcPr>
            <w:tcW w:type="dxa" w:w="3000"/>
            <w:shd w:fill="FFFFFF" w:val="clear"/>
            <w:tcMar>
              <w:top w:type="dxa" w:w="80"/>
              <w:left w:type="dxa" w:w="120"/>
              <w:bottom w:type="dxa" w:w="80"/>
              <w:right w:type="dxa" w:w="120"/>
            </w:tcMar>
          </w:tcPr>
          <w:p>
            <w:r>
              <w:rPr>
                <w:sz w:val="20"/>
                <w:szCs w:val="20"/>
              </w:rPr>
              <w:t xml:space="preserve">Original artifacts (transcripts, notes, emails)</w:t>
            </w:r>
          </w:p>
        </w:tc>
        <w:tc>
          <w:tcPr>
            <w:tcW w:type="dxa" w:w="2300"/>
            <w:shd w:fill="FFFFFF" w:val="clear"/>
            <w:tcMar>
              <w:top w:type="dxa" w:w="80"/>
              <w:left w:type="dxa" w:w="120"/>
              <w:bottom w:type="dxa" w:w="80"/>
              <w:right w:type="dxa" w:w="120"/>
            </w:tcMar>
          </w:tcPr>
          <w:p>
            <w:r>
              <w:rPr>
                <w:sz w:val="20"/>
                <w:szCs w:val="20"/>
              </w:rPr>
              <w:t xml:space="preserve">Document lookup</w:t>
            </w:r>
          </w:p>
        </w:tc>
      </w:tr>
      <w:tr>
        <w:tc>
          <w:tcPr>
            <w:tcW w:type="dxa" w:w="2300"/>
            <w:shd w:fill="F2F6FB" w:val="clear"/>
            <w:tcMar>
              <w:top w:type="dxa" w:w="80"/>
              <w:left w:type="dxa" w:w="120"/>
              <w:bottom w:type="dxa" w:w="80"/>
              <w:right w:type="dxa" w:w="120"/>
            </w:tcMar>
          </w:tcPr>
          <w:p>
            <w:r>
              <w:rPr>
                <w:sz w:val="20"/>
                <w:szCs w:val="20"/>
              </w:rPr>
              <w:t xml:space="preserve">customers</w:t>
            </w:r>
          </w:p>
        </w:tc>
        <w:tc>
          <w:tcPr>
            <w:tcW w:type="dxa" w:w="1750"/>
            <w:shd w:fill="F2F6FB" w:val="clear"/>
            <w:tcMar>
              <w:top w:type="dxa" w:w="80"/>
              <w:left w:type="dxa" w:w="120"/>
              <w:bottom w:type="dxa" w:w="80"/>
              <w:right w:type="dxa" w:w="120"/>
            </w:tcMar>
          </w:tcPr>
          <w:p>
            <w:r>
              <w:rPr>
                <w:sz w:val="20"/>
                <w:szCs w:val="20"/>
              </w:rPr>
              <w:t xml:space="preserve">Knowledge</w:t>
            </w:r>
          </w:p>
        </w:tc>
        <w:tc>
          <w:tcPr>
            <w:tcW w:type="dxa" w:w="3000"/>
            <w:shd w:fill="F2F6FB" w:val="clear"/>
            <w:tcMar>
              <w:top w:type="dxa" w:w="80"/>
              <w:left w:type="dxa" w:w="120"/>
              <w:bottom w:type="dxa" w:w="80"/>
              <w:right w:type="dxa" w:w="120"/>
            </w:tcMar>
          </w:tcPr>
          <w:p>
            <w:r>
              <w:rPr>
                <w:sz w:val="20"/>
                <w:szCs w:val="20"/>
              </w:rPr>
              <w:t xml:space="preserve">Long-term customer identity</w:t>
            </w:r>
          </w:p>
        </w:tc>
        <w:tc>
          <w:tcPr>
            <w:tcW w:type="dxa" w:w="2300"/>
            <w:shd w:fill="F2F6FB" w:val="clear"/>
            <w:tcMar>
              <w:top w:type="dxa" w:w="80"/>
              <w:left w:type="dxa" w:w="120"/>
              <w:bottom w:type="dxa" w:w="80"/>
              <w:right w:type="dxa" w:w="120"/>
            </w:tcMar>
          </w:tcPr>
          <w:p>
            <w:r>
              <w:rPr>
                <w:sz w:val="20"/>
                <w:szCs w:val="20"/>
              </w:rPr>
              <w:t xml:space="preserve">Customer ID lookup</w:t>
            </w:r>
          </w:p>
        </w:tc>
      </w:tr>
      <w:tr>
        <w:tc>
          <w:tcPr>
            <w:tcW w:type="dxa" w:w="2300"/>
            <w:shd w:fill="FFFFFF" w:val="clear"/>
            <w:tcMar>
              <w:top w:type="dxa" w:w="80"/>
              <w:left w:type="dxa" w:w="120"/>
              <w:bottom w:type="dxa" w:w="80"/>
              <w:right w:type="dxa" w:w="120"/>
            </w:tcMar>
          </w:tcPr>
          <w:p>
            <w:r>
              <w:rPr>
                <w:sz w:val="20"/>
                <w:szCs w:val="20"/>
              </w:rPr>
              <w:t xml:space="preserve">events</w:t>
            </w:r>
          </w:p>
        </w:tc>
        <w:tc>
          <w:tcPr>
            <w:tcW w:type="dxa" w:w="1750"/>
            <w:shd w:fill="FFFFFF" w:val="clear"/>
            <w:tcMar>
              <w:top w:type="dxa" w:w="80"/>
              <w:left w:type="dxa" w:w="120"/>
              <w:bottom w:type="dxa" w:w="80"/>
              <w:right w:type="dxa" w:w="120"/>
            </w:tcMar>
          </w:tcPr>
          <w:p>
            <w:r>
              <w:rPr>
                <w:sz w:val="20"/>
                <w:szCs w:val="20"/>
              </w:rPr>
              <w:t xml:space="preserve">Knowledge</w:t>
            </w:r>
          </w:p>
        </w:tc>
        <w:tc>
          <w:tcPr>
            <w:tcW w:type="dxa" w:w="3000"/>
            <w:shd w:fill="FFFFFF" w:val="clear"/>
            <w:tcMar>
              <w:top w:type="dxa" w:w="80"/>
              <w:left w:type="dxa" w:w="120"/>
              <w:bottom w:type="dxa" w:w="80"/>
              <w:right w:type="dxa" w:w="120"/>
            </w:tcMar>
          </w:tcPr>
          <w:p>
            <w:r>
              <w:rPr>
                <w:sz w:val="20"/>
                <w:szCs w:val="20"/>
              </w:rPr>
              <w:t xml:space="preserve">Episodic history</w:t>
            </w:r>
          </w:p>
        </w:tc>
        <w:tc>
          <w:tcPr>
            <w:tcW w:type="dxa" w:w="2300"/>
            <w:shd w:fill="FFFFFF" w:val="clear"/>
            <w:tcMar>
              <w:top w:type="dxa" w:w="80"/>
              <w:left w:type="dxa" w:w="120"/>
              <w:bottom w:type="dxa" w:w="80"/>
              <w:right w:type="dxa" w:w="120"/>
            </w:tcMar>
          </w:tcPr>
          <w:p>
            <w:r>
              <w:rPr>
                <w:sz w:val="20"/>
                <w:szCs w:val="20"/>
              </w:rPr>
              <w:t xml:space="preserve">Entity / time filtering</w:t>
            </w:r>
          </w:p>
        </w:tc>
      </w:tr>
      <w:tr>
        <w:tc>
          <w:tcPr>
            <w:tcW w:type="dxa" w:w="2300"/>
            <w:shd w:fill="F2F6FB" w:val="clear"/>
            <w:tcMar>
              <w:top w:type="dxa" w:w="80"/>
              <w:left w:type="dxa" w:w="120"/>
              <w:bottom w:type="dxa" w:w="80"/>
              <w:right w:type="dxa" w:w="120"/>
            </w:tcMar>
          </w:tcPr>
          <w:p>
            <w:r>
              <w:rPr>
                <w:sz w:val="20"/>
                <w:szCs w:val="20"/>
              </w:rPr>
              <w:t xml:space="preserve">semantic_memory</w:t>
            </w:r>
          </w:p>
        </w:tc>
        <w:tc>
          <w:tcPr>
            <w:tcW w:type="dxa" w:w="1750"/>
            <w:shd w:fill="F2F6FB" w:val="clear"/>
            <w:tcMar>
              <w:top w:type="dxa" w:w="80"/>
              <w:left w:type="dxa" w:w="120"/>
              <w:bottom w:type="dxa" w:w="80"/>
              <w:right w:type="dxa" w:w="120"/>
            </w:tcMar>
          </w:tcPr>
          <w:p>
            <w:r>
              <w:rPr>
                <w:sz w:val="20"/>
                <w:szCs w:val="20"/>
              </w:rPr>
              <w:t xml:space="preserve">Knowledge</w:t>
            </w:r>
          </w:p>
        </w:tc>
        <w:tc>
          <w:tcPr>
            <w:tcW w:type="dxa" w:w="3000"/>
            <w:shd w:fill="F2F6FB" w:val="clear"/>
            <w:tcMar>
              <w:top w:type="dxa" w:w="80"/>
              <w:left w:type="dxa" w:w="120"/>
              <w:bottom w:type="dxa" w:w="80"/>
              <w:right w:type="dxa" w:w="120"/>
            </w:tcMar>
          </w:tcPr>
          <w:p>
            <w:r>
              <w:rPr>
                <w:sz w:val="20"/>
                <w:szCs w:val="20"/>
              </w:rPr>
              <w:t xml:space="preserve">Learned facts and knowledge</w:t>
            </w:r>
          </w:p>
        </w:tc>
        <w:tc>
          <w:tcPr>
            <w:tcW w:type="dxa" w:w="2300"/>
            <w:shd w:fill="F2F6FB" w:val="clear"/>
            <w:tcMar>
              <w:top w:type="dxa" w:w="80"/>
              <w:left w:type="dxa" w:w="120"/>
              <w:bottom w:type="dxa" w:w="80"/>
              <w:right w:type="dxa" w:w="120"/>
            </w:tcMar>
          </w:tcPr>
          <w:p>
            <w:r>
              <w:rPr>
                <w:sz w:val="20"/>
                <w:szCs w:val="20"/>
              </w:rPr>
              <w:t xml:space="preserve">Vector similarity + metadata</w:t>
            </w:r>
          </w:p>
        </w:tc>
      </w:tr>
      <w:tr>
        <w:tc>
          <w:tcPr>
            <w:tcW w:type="dxa" w:w="2300"/>
            <w:shd w:fill="FFFFFF" w:val="clear"/>
            <w:tcMar>
              <w:top w:type="dxa" w:w="80"/>
              <w:left w:type="dxa" w:w="120"/>
              <w:bottom w:type="dxa" w:w="80"/>
              <w:right w:type="dxa" w:w="120"/>
            </w:tcMar>
          </w:tcPr>
          <w:p>
            <w:r>
              <w:rPr>
                <w:sz w:val="20"/>
                <w:szCs w:val="20"/>
              </w:rPr>
              <w:t xml:space="preserve">playbooks</w:t>
            </w:r>
          </w:p>
        </w:tc>
        <w:tc>
          <w:tcPr>
            <w:tcW w:type="dxa" w:w="1750"/>
            <w:shd w:fill="FFFFFF" w:val="clear"/>
            <w:tcMar>
              <w:top w:type="dxa" w:w="80"/>
              <w:left w:type="dxa" w:w="120"/>
              <w:bottom w:type="dxa" w:w="80"/>
              <w:right w:type="dxa" w:w="120"/>
            </w:tcMar>
          </w:tcPr>
          <w:p>
            <w:r>
              <w:rPr>
                <w:sz w:val="20"/>
                <w:szCs w:val="20"/>
              </w:rPr>
              <w:t xml:space="preserve">Knowledge</w:t>
            </w:r>
          </w:p>
        </w:tc>
        <w:tc>
          <w:tcPr>
            <w:tcW w:type="dxa" w:w="3000"/>
            <w:shd w:fill="FFFFFF" w:val="clear"/>
            <w:tcMar>
              <w:top w:type="dxa" w:w="80"/>
              <w:left w:type="dxa" w:w="120"/>
              <w:bottom w:type="dxa" w:w="80"/>
              <w:right w:type="dxa" w:w="120"/>
            </w:tcMar>
          </w:tcPr>
          <w:p>
            <w:r>
              <w:rPr>
                <w:sz w:val="20"/>
                <w:szCs w:val="20"/>
              </w:rPr>
              <w:t xml:space="preserve">Procedures and workflows</w:t>
            </w:r>
          </w:p>
        </w:tc>
        <w:tc>
          <w:tcPr>
            <w:tcW w:type="dxa" w:w="2300"/>
            <w:shd w:fill="FFFFFF" w:val="clear"/>
            <w:tcMar>
              <w:top w:type="dxa" w:w="80"/>
              <w:left w:type="dxa" w:w="120"/>
              <w:bottom w:type="dxa" w:w="80"/>
              <w:right w:type="dxa" w:w="120"/>
            </w:tcMar>
          </w:tcPr>
          <w:p>
            <w:r>
              <w:rPr>
                <w:sz w:val="20"/>
                <w:szCs w:val="20"/>
              </w:rPr>
              <w:t xml:space="preserve">Structured / intent lookup</w:t>
            </w:r>
          </w:p>
        </w:tc>
      </w:tr>
      <w:tr>
        <w:tc>
          <w:tcPr>
            <w:tcW w:type="dxa" w:w="2300"/>
            <w:shd w:fill="F2F6FB" w:val="clear"/>
            <w:tcMar>
              <w:top w:type="dxa" w:w="80"/>
              <w:left w:type="dxa" w:w="120"/>
              <w:bottom w:type="dxa" w:w="80"/>
              <w:right w:type="dxa" w:w="120"/>
            </w:tcMar>
          </w:tcPr>
          <w:p>
            <w:r>
              <w:rPr>
                <w:sz w:val="20"/>
                <w:szCs w:val="20"/>
              </w:rPr>
              <w:t xml:space="preserve">memory_intent_patterns</w:t>
            </w:r>
          </w:p>
        </w:tc>
        <w:tc>
          <w:tcPr>
            <w:tcW w:type="dxa" w:w="1750"/>
            <w:shd w:fill="F2F6FB" w:val="clear"/>
            <w:tcMar>
              <w:top w:type="dxa" w:w="80"/>
              <w:left w:type="dxa" w:w="120"/>
              <w:bottom w:type="dxa" w:w="80"/>
              <w:right w:type="dxa" w:w="120"/>
            </w:tcMar>
          </w:tcPr>
          <w:p>
            <w:r>
              <w:rPr>
                <w:sz w:val="20"/>
                <w:szCs w:val="20"/>
              </w:rPr>
              <w:t xml:space="preserve">System Intelligence</w:t>
            </w:r>
          </w:p>
        </w:tc>
        <w:tc>
          <w:tcPr>
            <w:tcW w:type="dxa" w:w="3000"/>
            <w:shd w:fill="F2F6FB" w:val="clear"/>
            <w:tcMar>
              <w:top w:type="dxa" w:w="80"/>
              <w:left w:type="dxa" w:w="120"/>
              <w:bottom w:type="dxa" w:w="80"/>
              <w:right w:type="dxa" w:w="120"/>
            </w:tcMar>
          </w:tcPr>
          <w:p>
            <w:r>
              <w:rPr>
                <w:sz w:val="20"/>
                <w:szCs w:val="20"/>
              </w:rPr>
              <w:t xml:space="preserve">Classifier reference examples (configuration, not memory)</w:t>
            </w:r>
          </w:p>
        </w:tc>
        <w:tc>
          <w:tcPr>
            <w:tcW w:type="dxa" w:w="2300"/>
            <w:shd w:fill="F2F6FB" w:val="clear"/>
            <w:tcMar>
              <w:top w:type="dxa" w:w="80"/>
              <w:left w:type="dxa" w:w="120"/>
              <w:bottom w:type="dxa" w:w="80"/>
              <w:right w:type="dxa" w:w="120"/>
            </w:tcMar>
          </w:tcPr>
          <w:p>
            <w:r>
              <w:rPr>
                <w:sz w:val="20"/>
                <w:szCs w:val="20"/>
              </w:rPr>
              <w:t xml:space="preserve">Vector similarity</w:t>
            </w:r>
          </w:p>
        </w:tc>
      </w:tr>
      <w:tr>
        <w:tc>
          <w:tcPr>
            <w:tcW w:type="dxa" w:w="2300"/>
            <w:shd w:fill="FFFFFF" w:val="clear"/>
            <w:tcMar>
              <w:top w:type="dxa" w:w="80"/>
              <w:left w:type="dxa" w:w="120"/>
              <w:bottom w:type="dxa" w:w="80"/>
              <w:right w:type="dxa" w:w="120"/>
            </w:tcMar>
          </w:tcPr>
          <w:p>
            <w:r>
              <w:rPr>
                <w:sz w:val="20"/>
                <w:szCs w:val="20"/>
              </w:rPr>
              <w:t xml:space="preserve">routing_traces</w:t>
            </w:r>
          </w:p>
        </w:tc>
        <w:tc>
          <w:tcPr>
            <w:tcW w:type="dxa" w:w="1750"/>
            <w:shd w:fill="FFFFFF" w:val="clear"/>
            <w:tcMar>
              <w:top w:type="dxa" w:w="80"/>
              <w:left w:type="dxa" w:w="120"/>
              <w:bottom w:type="dxa" w:w="80"/>
              <w:right w:type="dxa" w:w="120"/>
            </w:tcMar>
          </w:tcPr>
          <w:p>
            <w:r>
              <w:rPr>
                <w:sz w:val="20"/>
                <w:szCs w:val="20"/>
              </w:rPr>
              <w:t xml:space="preserve">System Intelligence</w:t>
            </w:r>
          </w:p>
        </w:tc>
        <w:tc>
          <w:tcPr>
            <w:tcW w:type="dxa" w:w="3000"/>
            <w:shd w:fill="FFFFFF" w:val="clear"/>
            <w:tcMar>
              <w:top w:type="dxa" w:w="80"/>
              <w:left w:type="dxa" w:w="120"/>
              <w:bottom w:type="dxa" w:w="80"/>
              <w:right w:type="dxa" w:w="120"/>
            </w:tcMar>
          </w:tcPr>
          <w:p>
            <w:r>
              <w:rPr>
                <w:sz w:val="20"/>
                <w:szCs w:val="20"/>
              </w:rPr>
              <w:t xml:space="preserve">Why the agent chose these memories, per query</w:t>
            </w:r>
          </w:p>
        </w:tc>
        <w:tc>
          <w:tcPr>
            <w:tcW w:type="dxa" w:w="2300"/>
            <w:shd w:fill="FFFFFF" w:val="clear"/>
            <w:tcMar>
              <w:top w:type="dxa" w:w="80"/>
              <w:left w:type="dxa" w:w="120"/>
              <w:bottom w:type="dxa" w:w="80"/>
              <w:right w:type="dxa" w:w="120"/>
            </w:tcMar>
          </w:tcPr>
          <w:p>
            <w:r>
              <w:rPr>
                <w:sz w:val="20"/>
                <w:szCs w:val="20"/>
              </w:rPr>
              <w:t xml:space="preserve">Document lookup</w:t>
            </w:r>
          </w:p>
        </w:tc>
      </w:tr>
      <w:tr>
        <w:tc>
          <w:tcPr>
            <w:tcW w:type="dxa" w:w="2300"/>
            <w:shd w:fill="F2F6FB" w:val="clear"/>
            <w:tcMar>
              <w:top w:type="dxa" w:w="80"/>
              <w:left w:type="dxa" w:w="120"/>
              <w:bottom w:type="dxa" w:w="80"/>
              <w:right w:type="dxa" w:w="120"/>
            </w:tcMar>
          </w:tcPr>
          <w:p>
            <w:r>
              <w:rPr>
                <w:sz w:val="20"/>
                <w:szCs w:val="20"/>
              </w:rPr>
              <w:t xml:space="preserve">memory_audit</w:t>
            </w:r>
          </w:p>
        </w:tc>
        <w:tc>
          <w:tcPr>
            <w:tcW w:type="dxa" w:w="1750"/>
            <w:shd w:fill="F2F6FB" w:val="clear"/>
            <w:tcMar>
              <w:top w:type="dxa" w:w="80"/>
              <w:left w:type="dxa" w:w="120"/>
              <w:bottom w:type="dxa" w:w="80"/>
              <w:right w:type="dxa" w:w="120"/>
            </w:tcMar>
          </w:tcPr>
          <w:p>
            <w:r>
              <w:rPr>
                <w:sz w:val="20"/>
                <w:szCs w:val="20"/>
              </w:rPr>
              <w:t xml:space="preserve">System Intelligence</w:t>
            </w:r>
          </w:p>
        </w:tc>
        <w:tc>
          <w:tcPr>
            <w:tcW w:type="dxa" w:w="3000"/>
            <w:shd w:fill="F2F6FB" w:val="clear"/>
            <w:tcMar>
              <w:top w:type="dxa" w:w="80"/>
              <w:left w:type="dxa" w:w="120"/>
              <w:bottom w:type="dxa" w:w="80"/>
              <w:right w:type="dxa" w:w="120"/>
            </w:tcMar>
          </w:tcPr>
          <w:p>
            <w:r>
              <w:rPr>
                <w:sz w:val="20"/>
                <w:szCs w:val="20"/>
              </w:rPr>
              <w:t xml:space="preserve">Full memory lifecycle audit (reads/writes/promotions)</w:t>
            </w:r>
          </w:p>
        </w:tc>
        <w:tc>
          <w:tcPr>
            <w:tcW w:type="dxa" w:w="2300"/>
            <w:shd w:fill="F2F6FB" w:val="clear"/>
            <w:tcMar>
              <w:top w:type="dxa" w:w="80"/>
              <w:left w:type="dxa" w:w="120"/>
              <w:bottom w:type="dxa" w:w="80"/>
              <w:right w:type="dxa" w:w="120"/>
            </w:tcMar>
          </w:tcPr>
          <w:p>
            <w:r>
              <w:rPr>
                <w:sz w:val="20"/>
                <w:szCs w:val="20"/>
              </w:rPr>
              <w:t xml:space="preserve">Document lookup</w:t>
            </w:r>
          </w:p>
        </w:tc>
      </w:tr>
    </w:tbl>
    <w:p>
      <w:pPr>
        <w:spacing w:after="120"/>
      </w:pPr>
    </w:p>
    <w:p>
      <w:pPr>
        <w:spacing w:after="160"/>
      </w:pPr>
      <w:r>
        <w:t xml:space="preserve">Naming note: this table uses simple domain names (events, semantic_memory, playbooks) rather than implementation-specific names (episodic_embeddings, procedural_embeddings) because collection names should describe the business concept, not the current storage technology. A future version could add vector representations to events or playbooks without renaming anything.</w:t>
      </w:r>
    </w:p>
    <w:p>
      <w:pPr>
        <w:spacing w:after="160"/>
      </w:pPr>
      <w:r>
        <w:t xml:space="preserve">sessions and conversation_history from the original v1 draft are retired as standalone collections — both are represented inside short_term_memory. documents from the original draft is retained but renamed source_documents, scoped under Knowledge as the ingestion layer rather than as an operational memory type.</w:t>
      </w:r>
    </w:p>
    <w:p>
      <w:pPr>
        <w:pStyle w:val="Heading1"/>
        <w:spacing w:after="160" w:before="360"/>
      </w:pPr>
      <w:r>
        <w:t xml:space="preserve">8. High-Level Architecture</w:t>
      </w:r>
    </w:p>
    <w:p>
      <w:pPr>
        <w:shd w:fill="F2F2F2" w:val="clear"/>
        <w:spacing w:after="40"/>
      </w:pPr>
      <w:r>
        <w:rPr>
          <w:rFonts w:ascii="Consolas" w:cs="Consolas" w:eastAsia="Consolas" w:hAnsi="Consolas"/>
          <w:sz w:val="18"/>
          <w:szCs w:val="18"/>
        </w:rPr>
        <w:t xml:space="preserve">Browser -&gt; React UI -&gt; Python FastAPI -&gt; Memory Orchestrator -&gt; Capella -&gt; LLM</w:t>
      </w:r>
    </w:p>
    <w:p>
      <w:pPr>
        <w:spacing w:after="120"/>
      </w:pPr>
    </w:p>
    <w:p>
      <w:pPr>
        <w:spacing w:after="160"/>
      </w:pPr>
      <w:r>
        <w:t xml:space="preserve">Within the orchestrator, the previously-undefined center of gravity is now explicit:</w:t>
      </w:r>
    </w:p>
    <w:p>
      <w:pPr>
        <w:shd w:fill="F2F2F2" w:val="clear"/>
        <w:spacing w:after="40"/>
      </w:pPr>
      <w:r>
        <w:rPr>
          <w:rFonts w:ascii="Consolas" w:cs="Consolas" w:eastAsia="Consolas" w:hAnsi="Consolas"/>
          <w:sz w:val="18"/>
          <w:szCs w:val="18"/>
        </w:rPr>
        <w:t xml:space="preserve">routing  -&gt;  retrieval  -&gt;  fusion  -&gt;  reasoning</w:t>
      </w:r>
    </w:p>
    <w:p>
      <w:pPr>
        <w:spacing w:after="160"/>
      </w:pPr>
      <w:r>
        <w:t xml:space="preserve">The memory stores are not the intelligence by themselves — the intelligence emerges from this pipeline. This is the architectural claim that differentiates the demo from a plain RAG pipeline.</w:t>
      </w:r>
    </w:p>
    <w:p>
      <w:pPr>
        <w:pStyle w:val="Heading1"/>
        <w:spacing w:after="160" w:before="360"/>
      </w:pPr>
      <w:r>
        <w:t xml:space="preserve">9. Memory Attention Layer: Intent Classification</w:t>
      </w:r>
    </w:p>
    <w:p>
      <w:pPr>
        <w:spacing w:after="160"/>
      </w:pPr>
      <w:r>
        <w:t xml:space="preserve">A two-stage design: a fast, deterministic classifier generates evidence; the reasoning LLM performs final routing. The classifier never makes a routing decision — it only produces signal for the LLM to reason over.</w:t>
      </w:r>
    </w:p>
    <w:p>
      <w:pPr>
        <w:pStyle w:val="Heading2"/>
        <w:spacing w:after="120" w:before="260"/>
      </w:pPr>
      <w:r>
        <w:t xml:space="preserve">9.1 Classifier Design (v1)</w:t>
      </w:r>
    </w:p>
    <w:p>
      <w:pPr>
        <w:pStyle w:val="ListParagraph"/>
        <w:numPr>
          <w:ilvl w:val="0"/>
          <w:numId w:val="2"/>
        </w:numPr>
        <w:spacing w:after="80"/>
      </w:pPr>
      <w:r>
        <w:t xml:space="preserve">Embeddings + cosine similarity against a small, hand-labeled set of canonical example questions per memory type (roughly 5–10 examples each) — no trained/fine-tuned model.</w:t>
      </w:r>
    </w:p>
    <w:p>
      <w:pPr>
        <w:pStyle w:val="ListParagraph"/>
        <w:numPr>
          <w:ilvl w:val="0"/>
          <w:numId w:val="2"/>
        </w:numPr>
        <w:spacing w:after="80"/>
      </w:pPr>
      <w:r>
        <w:t xml:space="preserve">Output is a candidate set of memory types with confidence scores, e.g. { semantic: 0.8, episodic: 0.6, long_term: 0.3 }, not a single winner.</w:t>
      </w:r>
    </w:p>
    <w:p>
      <w:pPr>
        <w:pStyle w:val="ListParagraph"/>
        <w:numPr>
          <w:ilvl w:val="0"/>
          <w:numId w:val="2"/>
        </w:numPr>
        <w:spacing w:after="80"/>
      </w:pPr>
      <w:r>
        <w:t xml:space="preserve">Classifier examples and their embeddings live in memory_intent_patterns (System Intelligence scope) as configuration data, not memory — this distinction is deliberate and should not be blurred in code or UI.</w:t>
      </w:r>
    </w:p>
    <w:p>
      <w:pPr>
        <w:pStyle w:val="Heading2"/>
        <w:spacing w:after="120" w:before="260"/>
      </w:pPr>
      <w:r>
        <w:t xml:space="preserve">9.2 Final Routing (LLM)</w:t>
      </w:r>
    </w:p>
    <w:p>
      <w:pPr>
        <w:spacing w:after="160"/>
      </w:pPr>
      <w:r>
        <w:t xml:space="preserve">The reasoning LLM receives the question plus the classifier's confidence scores as explicit evidence, and decides which memory systems to actually query — including querying multiple systems for a single question when warranted (e.g. a question that is simultaneously historical and conceptual).</w:t>
      </w:r>
    </w:p>
    <w:p>
      <w:pPr>
        <w:pStyle w:val="Heading2"/>
        <w:spacing w:after="120" w:before="260"/>
      </w:pPr>
      <w:r>
        <w:t xml:space="preserve">9.3 Routing Traces</w:t>
      </w:r>
    </w:p>
    <w:p>
      <w:pPr>
        <w:spacing w:after="160"/>
      </w:pPr>
      <w:r>
        <w:t xml:space="preserve">Every query produces a routing_traces document capturing the classifier's candidate scores and the LLM's final selection with reasons. This answers "why did the agent choose these memories?" and is distinct from memory_audit, which answers "what happened to the data?" (reads, writes, expirations, promotions) across the system's full lifecycle.</w:t>
      </w:r>
    </w:p>
    <w:p>
      <w:pPr>
        <w:pStyle w:val="Heading1"/>
        <w:spacing w:after="160" w:before="360"/>
      </w:pPr>
      <w:r>
        <w:t xml:space="preserve">10. Vector Memory Governance</w:t>
      </w:r>
    </w:p>
    <w:p>
      <w:pPr>
        <w:spacing w:after="160"/>
      </w:pPr>
      <w:r>
        <w:t xml:space="preserve">Applies to every vector-backed collection. This section was added after identifying a real failure mode: without generation governance, a single logical memory can appear to vector search as multiple independent memories once its embedding model is upgraded.</w:t>
      </w:r>
    </w:p>
    <w:p>
      <w:pPr>
        <w:pStyle w:val="Heading2"/>
        <w:spacing w:after="120" w:before="260"/>
      </w:pPr>
      <w:r>
        <w:t xml:space="preserve">10.1 Vector-Backed Scope (v1)</w:t>
      </w:r>
    </w:p>
    <w:p>
      <w:pPr>
        <w:spacing w:after="160"/>
      </w:pPr>
      <w:r>
        <w:t xml:space="preserve">Not all memory types are vector-backed — vector search is applied selectively, only where semantic similarity is the actual value driver.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50"/>
      </w:tblGrid>
      <w:tr>
        <w:trPr>
          <w:tblHeader/>
        </w:trPr>
        <w:tc>
          <w:tcPr>
            <w:tcW w:type="dxa" w:w="2400"/>
            <w:shd w:fill="2F5496" w:val="clear"/>
            <w:tcMar>
              <w:top w:type="dxa" w:w="80"/>
              <w:left w:type="dxa" w:w="120"/>
              <w:bottom w:type="dxa" w:w="80"/>
              <w:right w:type="dxa" w:w="120"/>
            </w:tcMar>
          </w:tcPr>
          <w:p>
            <w:r>
              <w:rPr>
                <w:b/>
                <w:bCs/>
                <w:color w:val="FFFFFF"/>
                <w:sz w:val="20"/>
                <w:szCs w:val="20"/>
              </w:rPr>
              <w:t xml:space="preserve">Memory Type</w:t>
            </w:r>
          </w:p>
        </w:tc>
        <w:tc>
          <w:tcPr>
            <w:tcW w:type="dxa" w:w="1900"/>
            <w:shd w:fill="2F5496" w:val="clear"/>
            <w:tcMar>
              <w:top w:type="dxa" w:w="80"/>
              <w:left w:type="dxa" w:w="120"/>
              <w:bottom w:type="dxa" w:w="80"/>
              <w:right w:type="dxa" w:w="120"/>
            </w:tcMar>
          </w:tcPr>
          <w:p>
            <w:r>
              <w:rPr>
                <w:b/>
                <w:bCs/>
                <w:color w:val="FFFFFF"/>
                <w:sz w:val="20"/>
                <w:szCs w:val="20"/>
              </w:rPr>
              <w:t xml:space="preserve">Vector-Backed in v1?</w:t>
            </w:r>
          </w:p>
        </w:tc>
        <w:tc>
          <w:tcPr>
            <w:tcW w:type="dxa" w:w="5050"/>
            <w:shd w:fill="2F5496" w:val="clear"/>
            <w:tcMar>
              <w:top w:type="dxa" w:w="80"/>
              <w:left w:type="dxa" w:w="120"/>
              <w:bottom w:type="dxa" w:w="80"/>
              <w:right w:type="dxa" w:w="120"/>
            </w:tcMar>
          </w:tcPr>
          <w:p>
            <w:r>
              <w:rPr>
                <w:b/>
                <w:bCs/>
                <w:color w:val="FFFFFF"/>
                <w:sz w:val="20"/>
                <w:szCs w:val="20"/>
              </w:rPr>
              <w:t xml:space="preserve">Why</w:t>
            </w:r>
          </w:p>
        </w:tc>
      </w:tr>
      <w:tr>
        <w:tc>
          <w:tcPr>
            <w:tcW w:type="dxa" w:w="2400"/>
            <w:shd w:fill="FFFFFF" w:val="clear"/>
            <w:tcMar>
              <w:top w:type="dxa" w:w="80"/>
              <w:left w:type="dxa" w:w="120"/>
              <w:bottom w:type="dxa" w:w="80"/>
              <w:right w:type="dxa" w:w="120"/>
            </w:tcMar>
          </w:tcPr>
          <w:p>
            <w:r>
              <w:rPr>
                <w:sz w:val="20"/>
                <w:szCs w:val="20"/>
              </w:rPr>
              <w:t xml:space="preserve">memory_intent_patterns</w:t>
            </w:r>
          </w:p>
        </w:tc>
        <w:tc>
          <w:tcPr>
            <w:tcW w:type="dxa" w:w="1900"/>
            <w:shd w:fill="FFFFFF" w:val="clear"/>
            <w:tcMar>
              <w:top w:type="dxa" w:w="80"/>
              <w:left w:type="dxa" w:w="120"/>
              <w:bottom w:type="dxa" w:w="80"/>
              <w:right w:type="dxa" w:w="120"/>
            </w:tcMar>
          </w:tcPr>
          <w:p>
            <w:r>
              <w:rPr>
                <w:sz w:val="20"/>
                <w:szCs w:val="20"/>
              </w:rPr>
              <w:t xml:space="preserve">Yes</w:t>
            </w:r>
          </w:p>
        </w:tc>
        <w:tc>
          <w:tcPr>
            <w:tcW w:type="dxa" w:w="5050"/>
            <w:shd w:fill="FFFFFF" w:val="clear"/>
            <w:tcMar>
              <w:top w:type="dxa" w:w="80"/>
              <w:left w:type="dxa" w:w="120"/>
              <w:bottom w:type="dxa" w:w="80"/>
              <w:right w:type="dxa" w:w="120"/>
            </w:tcMar>
          </w:tcPr>
          <w:p>
            <w:r>
              <w:rPr>
                <w:sz w:val="20"/>
                <w:szCs w:val="20"/>
              </w:rPr>
              <w:t xml:space="preserve">Classifier attention layer — needs similarity, not exact match</w:t>
            </w:r>
          </w:p>
        </w:tc>
      </w:tr>
      <w:tr>
        <w:tc>
          <w:tcPr>
            <w:tcW w:type="dxa" w:w="2400"/>
            <w:shd w:fill="F2F6FB" w:val="clear"/>
            <w:tcMar>
              <w:top w:type="dxa" w:w="80"/>
              <w:left w:type="dxa" w:w="120"/>
              <w:bottom w:type="dxa" w:w="80"/>
              <w:right w:type="dxa" w:w="120"/>
            </w:tcMar>
          </w:tcPr>
          <w:p>
            <w:r>
              <w:rPr>
                <w:sz w:val="20"/>
                <w:szCs w:val="20"/>
              </w:rPr>
              <w:t xml:space="preserve">semantic_memory</w:t>
            </w:r>
          </w:p>
        </w:tc>
        <w:tc>
          <w:tcPr>
            <w:tcW w:type="dxa" w:w="1900"/>
            <w:shd w:fill="F2F6FB" w:val="clear"/>
            <w:tcMar>
              <w:top w:type="dxa" w:w="80"/>
              <w:left w:type="dxa" w:w="120"/>
              <w:bottom w:type="dxa" w:w="80"/>
              <w:right w:type="dxa" w:w="120"/>
            </w:tcMar>
          </w:tcPr>
          <w:p>
            <w:r>
              <w:rPr>
                <w:sz w:val="20"/>
                <w:szCs w:val="20"/>
              </w:rPr>
              <w:t xml:space="preserve">Yes</w:t>
            </w:r>
          </w:p>
        </w:tc>
        <w:tc>
          <w:tcPr>
            <w:tcW w:type="dxa" w:w="5050"/>
            <w:shd w:fill="F2F6FB" w:val="clear"/>
            <w:tcMar>
              <w:top w:type="dxa" w:w="80"/>
              <w:left w:type="dxa" w:w="120"/>
              <w:bottom w:type="dxa" w:w="80"/>
              <w:right w:type="dxa" w:w="120"/>
            </w:tcMar>
          </w:tcPr>
          <w:p>
            <w:r>
              <w:rPr>
                <w:sz w:val="20"/>
                <w:szCs w:val="20"/>
              </w:rPr>
              <w:t xml:space="preserve">Conceptual similarity is the core value ("scaling problems" ≈ "throughput limitations")</w:t>
            </w:r>
          </w:p>
        </w:tc>
      </w:tr>
      <w:tr>
        <w:tc>
          <w:tcPr>
            <w:tcW w:type="dxa" w:w="2400"/>
            <w:shd w:fill="FFFFFF" w:val="clear"/>
            <w:tcMar>
              <w:top w:type="dxa" w:w="80"/>
              <w:left w:type="dxa" w:w="120"/>
              <w:bottom w:type="dxa" w:w="80"/>
              <w:right w:type="dxa" w:w="120"/>
            </w:tcMar>
          </w:tcPr>
          <w:p>
            <w:r>
              <w:rPr>
                <w:sz w:val="20"/>
                <w:szCs w:val="20"/>
              </w:rPr>
              <w:t xml:space="preserve">customers (long-term)</w:t>
            </w:r>
          </w:p>
        </w:tc>
        <w:tc>
          <w:tcPr>
            <w:tcW w:type="dxa" w:w="1900"/>
            <w:shd w:fill="FFFFFF" w:val="clear"/>
            <w:tcMar>
              <w:top w:type="dxa" w:w="80"/>
              <w:left w:type="dxa" w:w="120"/>
              <w:bottom w:type="dxa" w:w="80"/>
              <w:right w:type="dxa" w:w="120"/>
            </w:tcMar>
          </w:tcPr>
          <w:p>
            <w:r>
              <w:rPr>
                <w:sz w:val="20"/>
                <w:szCs w:val="20"/>
              </w:rPr>
              <w:t xml:space="preserve">No</w:t>
            </w:r>
          </w:p>
        </w:tc>
        <w:tc>
          <w:tcPr>
            <w:tcW w:type="dxa" w:w="5050"/>
            <w:shd w:fill="FFFFFF" w:val="clear"/>
            <w:tcMar>
              <w:top w:type="dxa" w:w="80"/>
              <w:left w:type="dxa" w:w="120"/>
              <w:bottom w:type="dxa" w:w="80"/>
              <w:right w:type="dxa" w:w="120"/>
            </w:tcMar>
          </w:tcPr>
          <w:p>
            <w:r>
              <w:rPr>
                <w:sz w:val="20"/>
                <w:szCs w:val="20"/>
              </w:rPr>
              <w:t xml:space="preserve">Authoritative identity record — direct lookup, no ambiguity to resolve</w:t>
            </w:r>
          </w:p>
        </w:tc>
      </w:tr>
      <w:tr>
        <w:tc>
          <w:tcPr>
            <w:tcW w:type="dxa" w:w="2400"/>
            <w:shd w:fill="F2F6FB" w:val="clear"/>
            <w:tcMar>
              <w:top w:type="dxa" w:w="80"/>
              <w:left w:type="dxa" w:w="120"/>
              <w:bottom w:type="dxa" w:w="80"/>
              <w:right w:type="dxa" w:w="120"/>
            </w:tcMar>
          </w:tcPr>
          <w:p>
            <w:r>
              <w:rPr>
                <w:sz w:val="20"/>
                <w:szCs w:val="20"/>
              </w:rPr>
              <w:t xml:space="preserve">events (episodic)</w:t>
            </w:r>
          </w:p>
        </w:tc>
        <w:tc>
          <w:tcPr>
            <w:tcW w:type="dxa" w:w="1900"/>
            <w:shd w:fill="F2F6FB" w:val="clear"/>
            <w:tcMar>
              <w:top w:type="dxa" w:w="80"/>
              <w:left w:type="dxa" w:w="120"/>
              <w:bottom w:type="dxa" w:w="80"/>
              <w:right w:type="dxa" w:w="120"/>
            </w:tcMar>
          </w:tcPr>
          <w:p>
            <w:r>
              <w:rPr>
                <w:sz w:val="20"/>
                <w:szCs w:val="20"/>
              </w:rPr>
              <w:t xml:space="preserve">No (v1)</w:t>
            </w:r>
          </w:p>
        </w:tc>
        <w:tc>
          <w:tcPr>
            <w:tcW w:type="dxa" w:w="5050"/>
            <w:shd w:fill="F2F6FB" w:val="clear"/>
            <w:tcMar>
              <w:top w:type="dxa" w:w="80"/>
              <w:left w:type="dxa" w:w="120"/>
              <w:bottom w:type="dxa" w:w="80"/>
              <w:right w:type="dxa" w:w="120"/>
            </w:tcMar>
          </w:tcPr>
          <w:p>
            <w:r>
              <w:rPr>
                <w:sz w:val="20"/>
                <w:szCs w:val="20"/>
              </w:rPr>
              <w:t xml:space="preserve">Strongest signals are person / account / date / event type, not concept similarity</w:t>
            </w:r>
          </w:p>
        </w:tc>
      </w:tr>
      <w:tr>
        <w:tc>
          <w:tcPr>
            <w:tcW w:type="dxa" w:w="2400"/>
            <w:shd w:fill="FFFFFF" w:val="clear"/>
            <w:tcMar>
              <w:top w:type="dxa" w:w="80"/>
              <w:left w:type="dxa" w:w="120"/>
              <w:bottom w:type="dxa" w:w="80"/>
              <w:right w:type="dxa" w:w="120"/>
            </w:tcMar>
          </w:tcPr>
          <w:p>
            <w:r>
              <w:rPr>
                <w:sz w:val="20"/>
                <w:szCs w:val="20"/>
              </w:rPr>
              <w:t xml:space="preserve">playbooks (procedural)</w:t>
            </w:r>
          </w:p>
        </w:tc>
        <w:tc>
          <w:tcPr>
            <w:tcW w:type="dxa" w:w="1900"/>
            <w:shd w:fill="FFFFFF" w:val="clear"/>
            <w:tcMar>
              <w:top w:type="dxa" w:w="80"/>
              <w:left w:type="dxa" w:w="120"/>
              <w:bottom w:type="dxa" w:w="80"/>
              <w:right w:type="dxa" w:w="120"/>
            </w:tcMar>
          </w:tcPr>
          <w:p>
            <w:r>
              <w:rPr>
                <w:sz w:val="20"/>
                <w:szCs w:val="20"/>
              </w:rPr>
              <w:t xml:space="preserve">No (v1)</w:t>
            </w:r>
          </w:p>
        </w:tc>
        <w:tc>
          <w:tcPr>
            <w:tcW w:type="dxa" w:w="5050"/>
            <w:shd w:fill="FFFFFF" w:val="clear"/>
            <w:tcMar>
              <w:top w:type="dxa" w:w="80"/>
              <w:left w:type="dxa" w:w="120"/>
              <w:bottom w:type="dxa" w:w="80"/>
              <w:right w:type="dxa" w:w="120"/>
            </w:tcMar>
          </w:tcPr>
          <w:p>
            <w:r>
              <w:rPr>
                <w:sz w:val="20"/>
                <w:szCs w:val="20"/>
              </w:rPr>
              <w:t xml:space="preserve">Better represented as structured trigger conditions and steps</w:t>
            </w:r>
          </w:p>
        </w:tc>
      </w:tr>
    </w:tbl>
    <w:p>
      <w:pPr>
        <w:spacing w:after="160"/>
      </w:pPr>
      <w:r>
        <w:rPr>
          <w:i/>
          <w:iCs/>
        </w:rPr>
        <w:t xml:space="preserve">Future versions may introduce vector representations for events and playbooks, but they are not required for the v1 demonstration.</w:t>
      </w:r>
    </w:p>
    <w:p>
      <w:pPr>
        <w:pStyle w:val="Heading2"/>
        <w:spacing w:after="120" w:before="260"/>
      </w:pPr>
      <w:r>
        <w:t xml:space="preserve">10.2 Immutable Embedding Generations</w:t>
      </w:r>
    </w:p>
    <w:p>
      <w:pPr>
        <w:spacing w:after="160"/>
      </w:pPr>
      <w:r>
        <w:t xml:space="preserve">The logical memory object remains stable; its embedding representation evolves through immutable, versioned generations. Vectors are never overwritten in place.</w:t>
      </w:r>
    </w:p>
    <w:p>
      <w:pPr>
        <w:shd w:fill="F2F2F2" w:val="clear"/>
        <w:spacing w:after="40"/>
      </w:pPr>
      <w:r>
        <w:rPr>
          <w:rFonts w:ascii="Consolas" w:cs="Consolas" w:eastAsia="Consolas" w:hAnsi="Consolas"/>
          <w:sz w:val="18"/>
          <w:szCs w:val="18"/>
        </w:rPr>
        <w:t xml:space="preserve">Logical Memory Object</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                                     |</w:t>
      </w:r>
    </w:p>
    <w:p>
      <w:pPr>
        <w:shd w:fill="F2F2F2" w:val="clear"/>
        <w:spacing w:after="40"/>
      </w:pPr>
      <w:r>
        <w:rPr>
          <w:rFonts w:ascii="Consolas" w:cs="Consolas" w:eastAsia="Consolas" w:hAnsi="Consolas"/>
          <w:sz w:val="18"/>
          <w:szCs w:val="18"/>
        </w:rPr>
        <w:t xml:space="preserve">  Generation 1                          Generation 2</w:t>
      </w:r>
    </w:p>
    <w:p>
      <w:pPr>
        <w:shd w:fill="F2F2F2" w:val="clear"/>
        <w:spacing w:after="40"/>
      </w:pPr>
      <w:r>
        <w:rPr>
          <w:rFonts w:ascii="Consolas" w:cs="Consolas" w:eastAsia="Consolas" w:hAnsi="Consolas"/>
          <w:sz w:val="18"/>
          <w:szCs w:val="18"/>
        </w:rPr>
        <w:t xml:space="preserve">  embedding_v1                          embedding_v2</w:t>
      </w:r>
    </w:p>
    <w:p>
      <w:pPr>
        <w:shd w:fill="F2F2F2" w:val="clear"/>
        <w:spacing w:after="40"/>
      </w:pPr>
      <w:r>
        <w:rPr>
          <w:rFonts w:ascii="Consolas" w:cs="Consolas" w:eastAsia="Consolas" w:hAnsi="Consolas"/>
          <w:sz w:val="18"/>
          <w:szCs w:val="18"/>
        </w:rPr>
        <w:t xml:space="preserve">  active = false                        active = true</w:t>
      </w:r>
    </w:p>
    <w:p>
      <w:pPr>
        <w:spacing w:after="120"/>
      </w:pPr>
    </w:p>
    <w:p>
      <w:pPr>
        <w:spacing w:after="160"/>
      </w:pPr>
      <w:r>
        <w:t xml:space="preserve">Invariant: for every logical memory object, exactly one embedding generation is active at rest.</w:t>
      </w:r>
    </w:p>
    <w:p>
      <w:pPr>
        <w:shd w:fill="F2F2F2" w:val="clear"/>
        <w:spacing w:after="40"/>
      </w:pPr>
      <w:r>
        <w:rPr>
          <w:rFonts w:ascii="Consolas" w:cs="Consolas" w:eastAsia="Consolas" w:hAnsi="Consolas"/>
          <w:sz w:val="18"/>
          <w:szCs w:val="18"/>
        </w:rPr>
        <w:t xml:space="preserve">∀ logical_id:  COUNT(active = true) == 1   (holds at rest; see promotion workflow for the brief in-flight window)</w:t>
      </w:r>
    </w:p>
    <w:p>
      <w:pPr>
        <w:spacing w:after="120"/>
      </w:pPr>
    </w:p>
    <w:p>
      <w:pPr>
        <w:spacing w:after="160"/>
      </w:pPr>
      <w:r>
        <w:t xml:space="preserve">Example — classifier pattern generations:</w:t>
      </w:r>
    </w:p>
    <w:p>
      <w:pPr>
        <w:shd w:fill="F2F2F2" w:val="clear"/>
        <w:spacing w:after="40"/>
      </w:pPr>
      <w:r>
        <w:rPr>
          <w:rFonts w:ascii="Consolas" w:cs="Consolas" w:eastAsia="Consolas" w:hAnsi="Consolas"/>
          <w:sz w:val="18"/>
          <w:szCs w:val="18"/>
        </w:rPr>
        <w:t xml:space="preserve">{ "logical_id": "episodic_pattern_001", "generation": 1,</w:t>
      </w:r>
    </w:p>
    <w:p>
      <w:pPr>
        <w:shd w:fill="F2F2F2" w:val="clear"/>
        <w:spacing w:after="40"/>
      </w:pPr>
      <w:r>
        <w:rPr>
          <w:rFonts w:ascii="Consolas" w:cs="Consolas" w:eastAsia="Consolas" w:hAnsi="Consolas"/>
          <w:sz w:val="18"/>
          <w:szCs w:val="18"/>
        </w:rPr>
        <w:t xml:space="preserve">  "embedding_metadata": { "model": "text-embedding-3-small", "dimension": 1536 }, "active": false }</w:t>
      </w:r>
    </w:p>
    <w:p>
      <w:pPr>
        <w:shd w:fill="F2F2F2" w:val="clear"/>
        <w:spacing w:after="40"/>
      </w:pPr>
      <w:r>
        <w:rPr>
          <w:rFonts w:ascii="Consolas" w:cs="Consolas" w:eastAsia="Consolas" w:hAnsi="Consolas"/>
          <w:sz w:val="18"/>
          <w:szCs w:val="18"/>
        </w:rPr>
        <w:t xml:space="preserve">{ "logical_id": "episodic_pattern_001", "generation": 2,</w:t>
      </w:r>
    </w:p>
    <w:p>
      <w:pPr>
        <w:shd w:fill="F2F2F2" w:val="clear"/>
        <w:spacing w:after="40"/>
      </w:pPr>
      <w:r>
        <w:rPr>
          <w:rFonts w:ascii="Consolas" w:cs="Consolas" w:eastAsia="Consolas" w:hAnsi="Consolas"/>
          <w:sz w:val="18"/>
          <w:szCs w:val="18"/>
        </w:rPr>
        <w:t xml:space="preserve">  "embedding_metadata": { "model": "text-embedding-4", "dimension": 3072 }, "active": true }</w:t>
      </w:r>
    </w:p>
    <w:p>
      <w:pPr>
        <w:pStyle w:val="Heading2"/>
        <w:spacing w:after="120" w:before="260"/>
      </w:pPr>
      <w:r>
        <w:t xml:space="preserve">10.3 Promotion Workflow</w:t>
      </w:r>
    </w:p>
    <w:p>
      <w:pPr>
        <w:spacing w:after="160"/>
      </w:pPr>
      <w:r>
        <w:t xml:space="preserve">Never deactivate the current generation before the replacement is validated — doing so risks a window with no active generation at all.</w:t>
      </w:r>
    </w:p>
    <w:p>
      <w:pPr>
        <w:pStyle w:val="ListParagraph"/>
        <w:numPr>
          <w:ilvl w:val="0"/>
          <w:numId w:val="2"/>
        </w:numPr>
        <w:spacing w:after="80"/>
      </w:pPr>
      <w:r>
        <w:t xml:space="preserve">1. Generate new embedding</w:t>
      </w:r>
    </w:p>
    <w:p>
      <w:pPr>
        <w:pStyle w:val="ListParagraph"/>
        <w:numPr>
          <w:ilvl w:val="0"/>
          <w:numId w:val="2"/>
        </w:numPr>
        <w:spacing w:after="80"/>
      </w:pPr>
      <w:r>
        <w:t xml:space="preserve">2. Validate vector dimension</w:t>
      </w:r>
    </w:p>
    <w:p>
      <w:pPr>
        <w:pStyle w:val="ListParagraph"/>
        <w:numPr>
          <w:ilvl w:val="0"/>
          <w:numId w:val="2"/>
        </w:numPr>
        <w:spacing w:after="80"/>
      </w:pPr>
      <w:r>
        <w:t xml:space="preserve">3. Write new generation (active = false)</w:t>
      </w:r>
    </w:p>
    <w:p>
      <w:pPr>
        <w:pStyle w:val="ListParagraph"/>
        <w:numPr>
          <w:ilvl w:val="0"/>
          <w:numId w:val="2"/>
        </w:numPr>
        <w:spacing w:after="80"/>
      </w:pPr>
      <w:r>
        <w:t xml:space="preserve">4. Verify new document</w:t>
      </w:r>
    </w:p>
    <w:p>
      <w:pPr>
        <w:pStyle w:val="ListParagraph"/>
        <w:numPr>
          <w:ilvl w:val="0"/>
          <w:numId w:val="2"/>
        </w:numPr>
        <w:spacing w:after="80"/>
      </w:pPr>
      <w:r>
        <w:t xml:space="preserve">5. Activate new generation</w:t>
      </w:r>
    </w:p>
    <w:p>
      <w:pPr>
        <w:pStyle w:val="ListParagraph"/>
        <w:numPr>
          <w:ilvl w:val="0"/>
          <w:numId w:val="2"/>
        </w:numPr>
        <w:spacing w:after="80"/>
      </w:pPr>
      <w:r>
        <w:t xml:space="preserve">6. Deactivate previous generation</w:t>
      </w:r>
    </w:p>
    <w:p>
      <w:pPr>
        <w:pStyle w:val="ListParagraph"/>
        <w:numPr>
          <w:ilvl w:val="0"/>
          <w:numId w:val="2"/>
        </w:numPr>
        <w:spacing w:after="80"/>
      </w:pPr>
      <w:r>
        <w:t xml:space="preserve">7. Confirm invariant</w:t>
      </w:r>
    </w:p>
    <w:p>
      <w:pPr>
        <w:spacing w:after="160"/>
      </w:pPr>
      <w:r>
        <w:rPr>
          <w:i/>
          <w:iCs/>
        </w:rPr>
        <w:t xml:space="preserve">Note: steps 5 and 6 create a brief window where two generations may both read as active. This is acceptable for v1 (promotions are not expected to happen concurrently with live demo queries) but should be stated as a known limitation, not implied away.</w:t>
      </w:r>
    </w:p>
    <w:p>
      <w:pPr>
        <w:pStyle w:val="Heading2"/>
        <w:spacing w:after="120" w:before="260"/>
      </w:pPr>
      <w:r>
        <w:t xml:space="preserve">10.4 Retrieval Must Filter on Active Generation — as a Pre-Filter</w:t>
      </w:r>
    </w:p>
    <w:p>
      <w:pPr>
        <w:spacing w:after="160"/>
      </w:pPr>
      <w:r>
        <w:t xml:space="preserve">Active-generation filtering must occur during vector retrieval, not after. Filtering after retrieval risks a top-k budget consumed entirely by stale generations of the same underlying memory, silently starving genuinely distinct results.</w:t>
      </w:r>
    </w:p>
    <w:p>
      <w:pPr>
        <w:shd w:fill="F2F2F2" w:val="clear"/>
        <w:spacing w:after="40"/>
      </w:pPr>
      <w:r>
        <w:rPr>
          <w:rFonts w:ascii="Consolas" w:cs="Consolas" w:eastAsia="Consolas" w:hAnsi="Consolas"/>
          <w:sz w:val="18"/>
          <w:szCs w:val="18"/>
        </w:rPr>
        <w:t xml:space="preserve">Example failure (post-filtering):</w:t>
      </w:r>
    </w:p>
    <w:p>
      <w:pPr>
        <w:shd w:fill="F2F2F2" w:val="clear"/>
        <w:spacing w:after="40"/>
      </w:pPr>
      <w:r>
        <w:rPr>
          <w:rFonts w:ascii="Consolas" w:cs="Consolas" w:eastAsia="Consolas" w:hAnsi="Consolas"/>
          <w:sz w:val="18"/>
          <w:szCs w:val="18"/>
        </w:rPr>
        <w:t xml:space="preserve">  meeting_123_v1  .95  inactive</w:t>
      </w:r>
    </w:p>
    <w:p>
      <w:pPr>
        <w:shd w:fill="F2F2F2" w:val="clear"/>
        <w:spacing w:after="40"/>
      </w:pPr>
      <w:r>
        <w:rPr>
          <w:rFonts w:ascii="Consolas" w:cs="Consolas" w:eastAsia="Consolas" w:hAnsi="Consolas"/>
          <w:sz w:val="18"/>
          <w:szCs w:val="18"/>
        </w:rPr>
        <w:t xml:space="preserve">  meeting_123_v2  .94  inactive</w:t>
      </w:r>
    </w:p>
    <w:p>
      <w:pPr>
        <w:shd w:fill="F2F2F2" w:val="clear"/>
        <w:spacing w:after="40"/>
      </w:pPr>
      <w:r>
        <w:rPr>
          <w:rFonts w:ascii="Consolas" w:cs="Consolas" w:eastAsia="Consolas" w:hAnsi="Consolas"/>
          <w:sz w:val="18"/>
          <w:szCs w:val="18"/>
        </w:rPr>
        <w:t xml:space="preserve">  meeting_123_v3  .93  inactive</w:t>
      </w:r>
    </w:p>
    <w:p>
      <w:pPr>
        <w:shd w:fill="F2F2F2" w:val="clear"/>
        <w:spacing w:after="40"/>
      </w:pPr>
      <w:r>
        <w:rPr>
          <w:rFonts w:ascii="Consolas" w:cs="Consolas" w:eastAsia="Consolas" w:hAnsi="Consolas"/>
          <w:sz w:val="18"/>
          <w:szCs w:val="18"/>
        </w:rPr>
        <w:t xml:space="preserve">  meeting_456_v1  .90  active</w:t>
      </w:r>
    </w:p>
    <w:p>
      <w:pPr>
        <w:shd w:fill="F2F2F2" w:val="clear"/>
        <w:spacing w:after="40"/>
      </w:pPr>
      <w:r>
        <w:rPr>
          <w:rFonts w:ascii="Consolas" w:cs="Consolas" w:eastAsia="Consolas" w:hAnsi="Consolas"/>
          <w:sz w:val="18"/>
          <w:szCs w:val="18"/>
        </w:rPr>
        <w:t xml:space="preserve">  meeting_789_v1  .88  active</w:t>
      </w:r>
    </w:p>
    <w:p>
      <w:pPr>
        <w:shd w:fill="F2F2F2" w:val="clear"/>
        <w:spacing w:after="40"/>
      </w:pPr>
      <w:r>
        <w:rPr>
          <w:rFonts w:ascii="Consolas" w:cs="Consolas" w:eastAsia="Consolas" w:hAnsi="Consolas"/>
          <w:sz w:val="18"/>
          <w:szCs w:val="18"/>
        </w:rPr>
        <w:t xml:space="preserve">  -&gt; only 2 valid results out of a requested 5</w:t>
      </w:r>
    </w:p>
    <w:p>
      <w:pPr>
        <w:spacing w:after="120"/>
      </w:pPr>
    </w:p>
    <w:p>
      <w:pPr>
        <w:spacing w:after="160"/>
      </w:pPr>
      <w:r>
        <w:t xml:space="preserve">Requirement: every vector index on a vector-backed collection must expose active (and generally memory_type, generation) as pre-filter / filter fields, not fields evaluated after the top-k candidates are already chosen. This applies to both memory_intent_patterns and semantic_memory.</w:t>
      </w:r>
    </w:p>
    <w:p>
      <w:pPr>
        <w:shd w:fill="F2F2F2" w:val="clear"/>
        <w:spacing w:after="40"/>
      </w:pPr>
      <w:r>
        <w:rPr>
          <w:rFonts w:ascii="Consolas" w:cs="Consolas" w:eastAsia="Consolas" w:hAnsi="Consolas"/>
          <w:sz w:val="18"/>
          <w:szCs w:val="18"/>
        </w:rPr>
        <w:t xml:space="preserve">SELECT * FROM semantic_memory</w:t>
      </w:r>
    </w:p>
    <w:p>
      <w:pPr>
        <w:shd w:fill="F2F2F2" w:val="clear"/>
        <w:spacing w:after="40"/>
      </w:pPr>
      <w:r>
        <w:rPr>
          <w:rFonts w:ascii="Consolas" w:cs="Consolas" w:eastAsia="Consolas" w:hAnsi="Consolas"/>
          <w:sz w:val="18"/>
          <w:szCs w:val="18"/>
        </w:rPr>
        <w:t xml:space="preserve">WHERE active = true AND memory_type = "semantic"</w:t>
      </w:r>
    </w:p>
    <w:p>
      <w:pPr>
        <w:shd w:fill="F2F2F2" w:val="clear"/>
        <w:spacing w:after="40"/>
      </w:pPr>
      <w:r>
        <w:rPr>
          <w:rFonts w:ascii="Consolas" w:cs="Consolas" w:eastAsia="Consolas" w:hAnsi="Consolas"/>
          <w:sz w:val="18"/>
          <w:szCs w:val="18"/>
        </w:rPr>
        <w:t xml:space="preserve">ORDER BY VECTOR_DISTANCE(embedding, $query_embedding)</w:t>
      </w:r>
    </w:p>
    <w:p>
      <w:pPr>
        <w:shd w:fill="F2F2F2" w:val="clear"/>
        <w:spacing w:after="40"/>
      </w:pPr>
      <w:r>
        <w:rPr>
          <w:rFonts w:ascii="Consolas" w:cs="Consolas" w:eastAsia="Consolas" w:hAnsi="Consolas"/>
          <w:sz w:val="18"/>
          <w:szCs w:val="18"/>
        </w:rPr>
        <w:t xml:space="preserve">LIMIT 5;</w:t>
      </w:r>
    </w:p>
    <w:p>
      <w:pPr>
        <w:pStyle w:val="Heading2"/>
        <w:spacing w:after="120" w:before="260"/>
      </w:pPr>
      <w:r>
        <w:t xml:space="preserve">10.5 Embedding Compatibility Validation</w:t>
      </w:r>
    </w:p>
    <w:p>
      <w:pPr>
        <w:spacing w:after="160"/>
      </w:pPr>
      <w:r>
        <w:t xml:space="preserve">A shared utility validates model and dimension compatibility before any vector search runs, and fails loudly rather than silently returning meaningless similarity scores.</w:t>
      </w:r>
    </w:p>
    <w:p>
      <w:pPr>
        <w:shd w:fill="F2F2F2" w:val="clear"/>
        <w:spacing w:after="40"/>
      </w:pPr>
      <w:r>
        <w:rPr>
          <w:rFonts w:ascii="Consolas" w:cs="Consolas" w:eastAsia="Consolas" w:hAnsi="Consolas"/>
          <w:sz w:val="18"/>
          <w:szCs w:val="18"/>
        </w:rPr>
        <w:t xml:space="preserve">validate_embedding_compatibility(query_embedding, target_collection)</w:t>
      </w:r>
    </w:p>
    <w:p>
      <w:pPr>
        <w:pStyle w:val="ListParagraph"/>
        <w:numPr>
          <w:ilvl w:val="0"/>
          <w:numId w:val="2"/>
        </w:numPr>
        <w:spacing w:after="80"/>
      </w:pPr>
      <w:r>
        <w:t xml:space="preserve">Validate model: query.model == active_generation.model</w:t>
      </w:r>
    </w:p>
    <w:p>
      <w:pPr>
        <w:pStyle w:val="ListParagraph"/>
        <w:numPr>
          <w:ilvl w:val="0"/>
          <w:numId w:val="2"/>
        </w:numPr>
        <w:spacing w:after="80"/>
      </w:pPr>
      <w:r>
        <w:t xml:space="preserve">Validate dimensions: len(query.vector) == active_generation.dimension</w:t>
      </w:r>
    </w:p>
    <w:p>
      <w:pPr>
        <w:pStyle w:val="ListParagraph"/>
        <w:numPr>
          <w:ilvl w:val="0"/>
          <w:numId w:val="2"/>
        </w:numPr>
        <w:spacing w:after="80"/>
      </w:pPr>
      <w:r>
        <w:t xml:space="preserve">Validate generation availability: an active generation exists</w:t>
      </w:r>
    </w:p>
    <w:p>
      <w:pPr>
        <w:spacing w:after="160"/>
      </w:pPr>
      <w:r>
        <w:t xml:space="preserve">On failure, the Memory Inspector's debug view surfaces the mismatch explicitly (e.g. query embedded with model X, active index uses model Y) rather than returning a plausible-looking but meaningless result — itself a good defensive-engineering talking point if a customer asks about production readiness.</w:t>
      </w:r>
    </w:p>
    <w:p>
      <w:pPr>
        <w:pStyle w:val="Heading2"/>
        <w:spacing w:after="120" w:before="260"/>
      </w:pPr>
      <w:r>
        <w:t xml:space="preserve">10.6 Governance Summary</w:t>
      </w:r>
    </w:p>
    <w:p>
      <w:pPr>
        <w:spacing w:after="160"/>
      </w:pPr>
      <w:r>
        <w:t xml:space="preserve">All vector-backed memory collections implement: immutable embedding generations, document-level versioning, active-generation promotion, active=true pre-filtering at the index level, the exactly-one-active-generation invariant, and pre-retrieval compatibility validation. This reframes the story from "we put vectors in a database" to "we manage evolving representations of memory with provenance and safety controls."</w:t>
      </w:r>
    </w:p>
    <w:p>
      <w:pPr>
        <w:pStyle w:val="Heading1"/>
        <w:spacing w:after="160" w:before="360"/>
      </w:pPr>
      <w:r>
        <w:t xml:space="preserve">11. Context Fusion Layer</w:t>
      </w:r>
    </w:p>
    <w:p>
      <w:pPr>
        <w:spacing w:after="160"/>
      </w:pPr>
      <w:r>
        <w:t xml:space="preserve">Context Fusion converts heterogeneous memory retrieval outputs into a single, normalized evidence representation before the reasoning LLM sees them. It answers "given these different memory sources, what evidence should the model consider?" — not "what is the final answer?" Without this layer, the LLM would have to reconcile raw database documents, vector hits, timestamps, and playbook steps on its own, inconsistently, every time.</w:t>
      </w:r>
    </w:p>
    <w:p>
      <w:pPr>
        <w:pStyle w:val="Heading2"/>
        <w:spacing w:after="120" w:before="260"/>
      </w:pPr>
      <w:r>
        <w:t xml:space="preserve">11.1 Why Retrieval Outputs Are Intentionally Different</w:t>
      </w:r>
    </w:p>
    <w:p>
      <w:pPr>
        <w:spacing w:after="160"/>
      </w:pPr>
      <w:r>
        <w:t xml:space="preserve">Episodic output is chronological and entity-rich, with confidence derived from source/event metadata. Semantic output is concept-based and similarity-ranked, with confidence derived from extraction and retrieval quality. Long-term (customer) output is authoritative and requires no similarity scoring at all. Fusion exists precisely because these shapes should not be naively concatenated.</w:t>
      </w:r>
    </w:p>
    <w:p>
      <w:pPr>
        <w:pStyle w:val="Heading2"/>
        <w:spacing w:after="120" w:before="260"/>
      </w:pPr>
      <w:r>
        <w:t xml:space="preserve">11.2 The Evidence Object Contract</w:t>
      </w:r>
    </w:p>
    <w:p>
      <w:pPr>
        <w:spacing w:after="160"/>
      </w:pPr>
      <w:r>
        <w:t xml:space="preserve">Every memory result, regardless of source, is normalized into a common shape:</w:t>
      </w:r>
    </w:p>
    <w:p>
      <w:pPr>
        <w:shd w:fill="F2F2F2" w:val="clear"/>
        <w:spacing w:after="40"/>
      </w:pPr>
      <w:r>
        <w:rPr>
          <w:rFonts w:ascii="Consolas" w:cs="Consolas" w:eastAsia="Consolas" w:hAnsi="Consolas"/>
          <w:sz w:val="18"/>
          <w:szCs w:val="18"/>
        </w:rPr>
        <w:t xml:space="preserve">{ "evidence_id": "...", "memory_type": "episodic | semantic | long_term | procedural",</w:t>
      </w:r>
    </w:p>
    <w:p>
      <w:pPr>
        <w:shd w:fill="F2F2F2" w:val="clear"/>
        <w:spacing w:after="40"/>
      </w:pPr>
      <w:r>
        <w:rPr>
          <w:rFonts w:ascii="Consolas" w:cs="Consolas" w:eastAsia="Consolas" w:hAnsi="Consolas"/>
          <w:sz w:val="18"/>
          <w:szCs w:val="18"/>
        </w:rPr>
        <w:t xml:space="preserve">  "content": "...", "evidence_type": "...", "source_metadata": {},</w:t>
      </w:r>
    </w:p>
    <w:p>
      <w:pPr>
        <w:shd w:fill="F2F2F2" w:val="clear"/>
        <w:spacing w:after="40"/>
      </w:pPr>
      <w:r>
        <w:rPr>
          <w:rFonts w:ascii="Consolas" w:cs="Consolas" w:eastAsia="Consolas" w:hAnsi="Consolas"/>
          <w:sz w:val="18"/>
          <w:szCs w:val="18"/>
        </w:rPr>
        <w:t xml:space="preserve">  "importance": 0.0-1.0, "reason_selected": "..." }</w:t>
      </w:r>
    </w:p>
    <w:p>
      <w:pPr>
        <w:pStyle w:val="Heading2"/>
        <w:spacing w:after="120" w:before="260"/>
      </w:pPr>
      <w:r>
        <w:t xml:space="preserve">11.3 Fusion Operations (v1 scope)</w:t>
      </w:r>
    </w:p>
    <w:p>
      <w:pPr>
        <w:pStyle w:val="ListParagraph"/>
        <w:numPr>
          <w:ilvl w:val="0"/>
          <w:numId w:val="2"/>
        </w:numPr>
        <w:spacing w:after="80"/>
      </w:pPr>
      <w:r>
        <w:t xml:space="preserve">Normalization — convert each memory type's native shape (event document, vector hit, customer record) into an Evidence Object.</w:t>
      </w:r>
    </w:p>
    <w:p>
      <w:pPr>
        <w:pStyle w:val="ListParagraph"/>
        <w:numPr>
          <w:ilvl w:val="0"/>
          <w:numId w:val="2"/>
        </w:numPr>
        <w:spacing w:after="80"/>
      </w:pPr>
      <w:r>
        <w:t xml:space="preserve">Provenance linking — link evidence only when an explicit, shared source pointer exists (e.g. a semantic fact's source_event_id matches an event_id). Content-based similarity clustering across sources is out of scope for v1.</w:t>
      </w:r>
    </w:p>
    <w:p>
      <w:pPr>
        <w:pStyle w:val="ListParagraph"/>
        <w:numPr>
          <w:ilvl w:val="0"/>
          <w:numId w:val="2"/>
        </w:numPr>
        <w:spacing w:after="80"/>
      </w:pPr>
      <w:r>
        <w:t xml:space="preserve">Importance ranking — score each piece of evidence with an explainable, per-type formula (below) so the Memory Inspector never displays an unexplained number.</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4E5" w:val="clear"/>
            <w:tcMar>
              <w:top w:type="dxa" w:w="150"/>
              <w:left w:type="dxa" w:w="200"/>
              <w:bottom w:type="dxa" w:w="150"/>
              <w:right w:type="dxa" w:w="200"/>
            </w:tcMar>
          </w:tcPr>
          <w:p>
            <w:pPr>
              <w:spacing w:after="100"/>
            </w:pPr>
            <w:r>
              <w:rPr>
                <w:b/>
                <w:bCs/>
                <w:color w:val="9C5700"/>
              </w:rPr>
              <w:t xml:space="preserve">v1 deduplication rule — scoped down deliberately</w:t>
            </w:r>
          </w:p>
          <w:p>
            <w:pPr>
              <w:spacing w:after="60"/>
            </w:pPr>
            <w:r>
              <w:rPr>
                <w:color w:val="594100"/>
              </w:rPr>
              <w:t xml:space="preserve">True semantic deduplication (recognizing that a paraphrased event and an extracted fact describe the same reality) requires entity resolution, temporal reasoning, and contradiction handling — a separate intelligence problem, not v1 work.</w:t>
            </w:r>
          </w:p>
          <w:p>
            <w:pPr>
              <w:spacing w:after="60"/>
            </w:pPr>
            <w:r>
              <w:rPr>
                <w:color w:val="594100"/>
              </w:rPr>
              <w:t xml:space="preserve">v1 only merges evidence when provenance explicitly connects it via a shared source pointer (source_event_id / source_document_id). Everything else is left as separate evidence, correctly ranked. Content-based clustering is documented as future work.</w:t>
            </w:r>
          </w:p>
        </w:tc>
      </w:tr>
    </w:tbl>
    <w:p>
      <w:pPr>
        <w:spacing w:after="120"/>
      </w:pPr>
    </w:p>
    <w:p>
      <w:pPr>
        <w:pStyle w:val="Heading2"/>
        <w:spacing w:after="120" w:before="260"/>
      </w:pPr>
      <w:r>
        <w:t xml:space="preserve">11.4 Importance Scoring Formulas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50"/>
      </w:tblGrid>
      <w:tr>
        <w:trPr>
          <w:tblHeader/>
        </w:trPr>
        <w:tc>
          <w:tcPr>
            <w:tcW w:type="dxa" w:w="2100"/>
            <w:shd w:fill="2F5496" w:val="clear"/>
            <w:tcMar>
              <w:top w:type="dxa" w:w="80"/>
              <w:left w:type="dxa" w:w="120"/>
              <w:bottom w:type="dxa" w:w="80"/>
              <w:right w:type="dxa" w:w="120"/>
            </w:tcMar>
          </w:tcPr>
          <w:p>
            <w:r>
              <w:rPr>
                <w:b/>
                <w:bCs/>
                <w:color w:val="FFFFFF"/>
                <w:sz w:val="20"/>
                <w:szCs w:val="20"/>
              </w:rPr>
              <w:t xml:space="preserve">Memory Type</w:t>
            </w:r>
          </w:p>
        </w:tc>
        <w:tc>
          <w:tcPr>
            <w:tcW w:type="dxa" w:w="4300"/>
            <w:shd w:fill="2F5496" w:val="clear"/>
            <w:tcMar>
              <w:top w:type="dxa" w:w="80"/>
              <w:left w:type="dxa" w:w="120"/>
              <w:bottom w:type="dxa" w:w="80"/>
              <w:right w:type="dxa" w:w="120"/>
            </w:tcMar>
          </w:tcPr>
          <w:p>
            <w:r>
              <w:rPr>
                <w:b/>
                <w:bCs/>
                <w:color w:val="FFFFFF"/>
                <w:sz w:val="20"/>
                <w:szCs w:val="20"/>
              </w:rPr>
              <w:t xml:space="preserve">Formula</w:t>
            </w:r>
          </w:p>
        </w:tc>
        <w:tc>
          <w:tcPr>
            <w:tcW w:type="dxa" w:w="2950"/>
            <w:shd w:fill="2F5496" w:val="clear"/>
            <w:tcMar>
              <w:top w:type="dxa" w:w="80"/>
              <w:left w:type="dxa" w:w="120"/>
              <w:bottom w:type="dxa" w:w="80"/>
              <w:right w:type="dxa" w:w="120"/>
            </w:tcMar>
          </w:tcPr>
          <w:p>
            <w:r>
              <w:rPr>
                <w:b/>
                <w:bCs/>
                <w:color w:val="FFFFFF"/>
                <w:sz w:val="20"/>
                <w:szCs w:val="20"/>
              </w:rPr>
              <w:t xml:space="preserve">Notes</w:t>
            </w:r>
          </w:p>
        </w:tc>
      </w:tr>
      <w:tr>
        <w:tc>
          <w:tcPr>
            <w:tcW w:type="dxa" w:w="2100"/>
            <w:shd w:fill="FFFFFF" w:val="clear"/>
            <w:tcMar>
              <w:top w:type="dxa" w:w="80"/>
              <w:left w:type="dxa" w:w="120"/>
              <w:bottom w:type="dxa" w:w="80"/>
              <w:right w:type="dxa" w:w="120"/>
            </w:tcMar>
          </w:tcPr>
          <w:p>
            <w:r>
              <w:rPr>
                <w:sz w:val="20"/>
                <w:szCs w:val="20"/>
              </w:rPr>
              <w:t xml:space="preserve">Episodic</w:t>
            </w:r>
          </w:p>
        </w:tc>
        <w:tc>
          <w:tcPr>
            <w:tcW w:type="dxa" w:w="4300"/>
            <w:shd w:fill="FFFFFF" w:val="clear"/>
            <w:tcMar>
              <w:top w:type="dxa" w:w="80"/>
              <w:left w:type="dxa" w:w="120"/>
              <w:bottom w:type="dxa" w:w="80"/>
              <w:right w:type="dxa" w:w="120"/>
            </w:tcMar>
          </w:tcPr>
          <w:p>
            <w:r>
              <w:rPr>
                <w:sz w:val="20"/>
                <w:szCs w:val="20"/>
              </w:rPr>
              <w:t xml:space="preserve">importance = 0.6 × relevance + 0.4 × recency</w:t>
            </w:r>
          </w:p>
        </w:tc>
        <w:tc>
          <w:tcPr>
            <w:tcW w:type="dxa" w:w="2950"/>
            <w:shd w:fill="FFFFFF" w:val="clear"/>
            <w:tcMar>
              <w:top w:type="dxa" w:w="80"/>
              <w:left w:type="dxa" w:w="120"/>
              <w:bottom w:type="dxa" w:w="80"/>
              <w:right w:type="dxa" w:w="120"/>
            </w:tcMar>
          </w:tcPr>
          <w:p>
            <w:r>
              <w:rPr>
                <w:sz w:val="20"/>
                <w:szCs w:val="20"/>
              </w:rPr>
              <w:t xml:space="preserve">recency = exp(-days_old / decay_factor)</w:t>
            </w:r>
          </w:p>
        </w:tc>
      </w:tr>
      <w:tr>
        <w:tc>
          <w:tcPr>
            <w:tcW w:type="dxa" w:w="2100"/>
            <w:shd w:fill="F2F6FB" w:val="clear"/>
            <w:tcMar>
              <w:top w:type="dxa" w:w="80"/>
              <w:left w:type="dxa" w:w="120"/>
              <w:bottom w:type="dxa" w:w="80"/>
              <w:right w:type="dxa" w:w="120"/>
            </w:tcMar>
          </w:tcPr>
          <w:p>
            <w:r>
              <w:rPr>
                <w:sz w:val="20"/>
                <w:szCs w:val="20"/>
              </w:rPr>
              <w:t xml:space="preserve">Semantic</w:t>
            </w:r>
          </w:p>
        </w:tc>
        <w:tc>
          <w:tcPr>
            <w:tcW w:type="dxa" w:w="4300"/>
            <w:shd w:fill="F2F6FB" w:val="clear"/>
            <w:tcMar>
              <w:top w:type="dxa" w:w="80"/>
              <w:left w:type="dxa" w:w="120"/>
              <w:bottom w:type="dxa" w:w="80"/>
              <w:right w:type="dxa" w:w="120"/>
            </w:tcMar>
          </w:tcPr>
          <w:p>
            <w:r>
              <w:rPr>
                <w:sz w:val="20"/>
                <w:szCs w:val="20"/>
              </w:rPr>
              <w:t xml:space="preserve">importance = similarity_score × confidence</w:t>
            </w:r>
          </w:p>
        </w:tc>
        <w:tc>
          <w:tcPr>
            <w:tcW w:type="dxa" w:w="2950"/>
            <w:shd w:fill="F2F6FB" w:val="clear"/>
            <w:tcMar>
              <w:top w:type="dxa" w:w="80"/>
              <w:left w:type="dxa" w:w="120"/>
              <w:bottom w:type="dxa" w:w="80"/>
              <w:right w:type="dxa" w:w="120"/>
            </w:tcMar>
          </w:tcPr>
          <w:p>
            <w:r>
              <w:rPr>
                <w:sz w:val="20"/>
                <w:szCs w:val="20"/>
              </w:rPr>
              <w:t xml:space="preserve">Both terms already 0–1</w:t>
            </w:r>
          </w:p>
        </w:tc>
      </w:tr>
      <w:tr>
        <w:tc>
          <w:tcPr>
            <w:tcW w:type="dxa" w:w="2100"/>
            <w:shd w:fill="FFFFFF" w:val="clear"/>
            <w:tcMar>
              <w:top w:type="dxa" w:w="80"/>
              <w:left w:type="dxa" w:w="120"/>
              <w:bottom w:type="dxa" w:w="80"/>
              <w:right w:type="dxa" w:w="120"/>
            </w:tcMar>
          </w:tcPr>
          <w:p>
            <w:r>
              <w:rPr>
                <w:sz w:val="20"/>
                <w:szCs w:val="20"/>
              </w:rPr>
              <w:t xml:space="preserve">Long-Term</w:t>
            </w:r>
          </w:p>
        </w:tc>
        <w:tc>
          <w:tcPr>
            <w:tcW w:type="dxa" w:w="4300"/>
            <w:shd w:fill="FFFFFF" w:val="clear"/>
            <w:tcMar>
              <w:top w:type="dxa" w:w="80"/>
              <w:left w:type="dxa" w:w="120"/>
              <w:bottom w:type="dxa" w:w="80"/>
              <w:right w:type="dxa" w:w="120"/>
            </w:tcMar>
          </w:tcPr>
          <w:p>
            <w:r>
              <w:rPr>
                <w:sz w:val="20"/>
                <w:szCs w:val="20"/>
              </w:rPr>
              <w:t xml:space="preserve">importance = 1.0 (v1 default)</w:t>
            </w:r>
          </w:p>
        </w:tc>
        <w:tc>
          <w:tcPr>
            <w:tcW w:type="dxa" w:w="2950"/>
            <w:shd w:fill="FFFFFF" w:val="clear"/>
            <w:tcMar>
              <w:top w:type="dxa" w:w="80"/>
              <w:left w:type="dxa" w:w="120"/>
              <w:bottom w:type="dxa" w:w="80"/>
              <w:right w:type="dxa" w:w="120"/>
            </w:tcMar>
          </w:tcPr>
          <w:p>
            <w:r>
              <w:rPr>
                <w:sz w:val="20"/>
                <w:szCs w:val="20"/>
              </w:rPr>
              <w:t xml:space="preserve">Customer record is treated as authoritative; may later be business_relevance × record_confidence</w:t>
            </w:r>
          </w:p>
        </w:tc>
      </w:tr>
    </w:tbl>
    <w:p>
      <w:pPr>
        <w:pStyle w:val="Heading2"/>
        <w:spacing w:after="120" w:before="260"/>
      </w:pPr>
      <w:r>
        <w:t xml:space="preserve">11.5 Fusion Pipeline</w:t>
      </w:r>
    </w:p>
    <w:p>
      <w:pPr>
        <w:shd w:fill="F2F2F2" w:val="clear"/>
        <w:spacing w:after="40"/>
      </w:pPr>
      <w:r>
        <w:rPr>
          <w:rFonts w:ascii="Consolas" w:cs="Consolas" w:eastAsia="Consolas" w:hAnsi="Consolas"/>
          <w:sz w:val="18"/>
          <w:szCs w:val="18"/>
        </w:rPr>
        <w:t xml:space="preserve">Retrieval Results (customers, events, semantic_memory, playbooks)</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v</w:t>
      </w:r>
    </w:p>
    <w:p>
      <w:pPr>
        <w:shd w:fill="F2F2F2" w:val="clear"/>
        <w:spacing w:after="40"/>
      </w:pPr>
      <w:r>
        <w:rPr>
          <w:rFonts w:ascii="Consolas" w:cs="Consolas" w:eastAsia="Consolas" w:hAnsi="Consolas"/>
          <w:sz w:val="18"/>
          <w:szCs w:val="18"/>
        </w:rPr>
        <w:t xml:space="preserve">   Normalize  -&gt;  Evidence Objects</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v</w:t>
      </w:r>
    </w:p>
    <w:p>
      <w:pPr>
        <w:shd w:fill="F2F2F2" w:val="clear"/>
        <w:spacing w:after="40"/>
      </w:pPr>
      <w:r>
        <w:rPr>
          <w:rFonts w:ascii="Consolas" w:cs="Consolas" w:eastAsia="Consolas" w:hAnsi="Consolas"/>
          <w:sz w:val="18"/>
          <w:szCs w:val="18"/>
        </w:rPr>
        <w:t xml:space="preserve">   Provenance Linking (explicit source pointers only)</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v</w:t>
      </w:r>
    </w:p>
    <w:p>
      <w:pPr>
        <w:shd w:fill="F2F2F2" w:val="clear"/>
        <w:spacing w:after="40"/>
      </w:pPr>
      <w:r>
        <w:rPr>
          <w:rFonts w:ascii="Consolas" w:cs="Consolas" w:eastAsia="Consolas" w:hAnsi="Consolas"/>
          <w:sz w:val="18"/>
          <w:szCs w:val="18"/>
        </w:rPr>
        <w:t xml:space="preserve">   Importance Ranking</w:t>
      </w:r>
    </w:p>
    <w:p>
      <w:pPr>
        <w:shd w:fill="F2F2F2" w:val="clear"/>
        <w:spacing w:after="40"/>
      </w:pPr>
      <w:r>
        <w:rPr>
          <w:rFonts w:ascii="Consolas" w:cs="Consolas" w:eastAsia="Consolas" w:hAnsi="Consolas"/>
          <w:sz w:val="18"/>
          <w:szCs w:val="18"/>
        </w:rPr>
        <w:t xml:space="preserve">        |</w:t>
      </w:r>
    </w:p>
    <w:p>
      <w:pPr>
        <w:shd w:fill="F2F2F2" w:val="clear"/>
        <w:spacing w:after="40"/>
      </w:pPr>
      <w:r>
        <w:rPr>
          <w:rFonts w:ascii="Consolas" w:cs="Consolas" w:eastAsia="Consolas" w:hAnsi="Consolas"/>
          <w:sz w:val="18"/>
          <w:szCs w:val="18"/>
        </w:rPr>
        <w:t xml:space="preserve">        v</w:t>
      </w:r>
    </w:p>
    <w:p>
      <w:pPr>
        <w:shd w:fill="F2F2F2" w:val="clear"/>
        <w:spacing w:after="40"/>
      </w:pPr>
      <w:r>
        <w:rPr>
          <w:rFonts w:ascii="Consolas" w:cs="Consolas" w:eastAsia="Consolas" w:hAnsi="Consolas"/>
          <w:sz w:val="18"/>
          <w:szCs w:val="18"/>
        </w:rPr>
        <w:t xml:space="preserve">   Reasoning Context  -&gt;  LLM</w:t>
      </w:r>
    </w:p>
    <w:p>
      <w:pPr>
        <w:pStyle w:val="Heading2"/>
        <w:spacing w:after="120" w:before="260"/>
      </w:pPr>
      <w:r>
        <w:t xml:space="preserve">11.6 Memory Inspector: Fusion Stage View</w:t>
      </w:r>
    </w:p>
    <w:p>
      <w:pPr>
        <w:spacing w:after="160"/>
      </w:pPr>
      <w:r>
        <w:t xml:space="preserve">A strong demo moment in its own right — showing the fusion mechanics, not just the final answer:</w:t>
      </w:r>
    </w:p>
    <w:p>
      <w:pPr>
        <w:shd w:fill="F2F2F2" w:val="clear"/>
        <w:spacing w:after="40"/>
      </w:pPr>
      <w:r>
        <w:rPr>
          <w:rFonts w:ascii="Consolas" w:cs="Consolas" w:eastAsia="Consolas" w:hAnsi="Consolas"/>
          <w:sz w:val="18"/>
          <w:szCs w:val="18"/>
        </w:rPr>
        <w:t xml:space="preserve">Context Fusion</w:t>
      </w:r>
    </w:p>
    <w:p>
      <w:pPr>
        <w:shd w:fill="F2F2F2" w:val="clear"/>
        <w:spacing w:after="40"/>
      </w:pPr>
      <w:r>
        <w:rPr>
          <w:rFonts w:ascii="Consolas" w:cs="Consolas" w:eastAsia="Consolas" w:hAnsi="Consolas"/>
          <w:sz w:val="18"/>
          <w:szCs w:val="18"/>
        </w:rPr>
        <w:t xml:space="preserve">  Input:      2 episodic results, 1 long-term record, 3 semantic results</w:t>
      </w:r>
    </w:p>
    <w:p>
      <w:pPr>
        <w:shd w:fill="F2F2F2" w:val="clear"/>
        <w:spacing w:after="40"/>
      </w:pPr>
      <w:r>
        <w:rPr>
          <w:rFonts w:ascii="Consolas" w:cs="Consolas" w:eastAsia="Consolas" w:hAnsi="Consolas"/>
          <w:sz w:val="18"/>
          <w:szCs w:val="18"/>
        </w:rPr>
        <w:t xml:space="preserve">  Operations: ✓ normalized   ✓ provenance-linked   ✓ ranked</w:t>
      </w:r>
    </w:p>
    <w:p>
      <w:pPr>
        <w:shd w:fill="F2F2F2" w:val="clear"/>
        <w:spacing w:after="40"/>
      </w:pPr>
      <w:r>
        <w:rPr>
          <w:rFonts w:ascii="Consolas" w:cs="Consolas" w:eastAsia="Consolas" w:hAnsi="Consolas"/>
          <w:sz w:val="18"/>
          <w:szCs w:val="18"/>
        </w:rPr>
        <w:t xml:space="preserve">  Output:     5 evidence objects</w:t>
      </w:r>
    </w:p>
    <w:p>
      <w:pPr>
        <w:shd w:fill="F2F2F2" w:val="clear"/>
        <w:spacing w:after="40"/>
      </w:pPr>
      <w:r>
        <w:rPr>
          <w:rFonts w:ascii="Consolas" w:cs="Consolas" w:eastAsia="Consolas" w:hAnsi="Consolas"/>
          <w:sz w:val="18"/>
          <w:szCs w:val="18"/>
        </w:rPr>
        <w:t xml:space="preserve"/>
      </w:r>
    </w:p>
    <w:p>
      <w:pPr>
        <w:shd w:fill="F2F2F2" w:val="clear"/>
        <w:spacing w:after="40"/>
      </w:pPr>
      <w:r>
        <w:rPr>
          <w:rFonts w:ascii="Consolas" w:cs="Consolas" w:eastAsia="Consolas" w:hAnsi="Consolas"/>
          <w:sz w:val="18"/>
          <w:szCs w:val="18"/>
        </w:rPr>
        <w:t xml:space="preserve">Evidence Ranking</w:t>
      </w:r>
    </w:p>
    <w:p>
      <w:pPr>
        <w:shd w:fill="F2F2F2" w:val="clear"/>
        <w:spacing w:after="40"/>
      </w:pPr>
      <w:r>
        <w:rPr>
          <w:rFonts w:ascii="Consolas" w:cs="Consolas" w:eastAsia="Consolas" w:hAnsi="Consolas"/>
          <w:sz w:val="18"/>
          <w:szCs w:val="18"/>
        </w:rPr>
        <w:t xml:space="preserve">  1. Customer Profile — Acme, Enterprise, Financial Services      importance 1.00</w:t>
      </w:r>
    </w:p>
    <w:p>
      <w:pPr>
        <w:shd w:fill="F2F2F2" w:val="clear"/>
        <w:spacing w:after="40"/>
      </w:pPr>
      <w:r>
        <w:rPr>
          <w:rFonts w:ascii="Consolas" w:cs="Consolas" w:eastAsia="Consolas" w:hAnsi="Consolas"/>
          <w:sz w:val="18"/>
          <w:szCs w:val="18"/>
        </w:rPr>
        <w:t xml:space="preserve">  2. Event — July 14 migration meeting                            importance 0.92</w:t>
      </w:r>
    </w:p>
    <w:p>
      <w:pPr>
        <w:shd w:fill="F2F2F2" w:val="clear"/>
        <w:spacing w:after="40"/>
      </w:pPr>
      <w:r>
        <w:rPr>
          <w:rFonts w:ascii="Consolas" w:cs="Consolas" w:eastAsia="Consolas" w:hAnsi="Consolas"/>
          <w:sz w:val="18"/>
          <w:szCs w:val="18"/>
        </w:rPr>
        <w:t xml:space="preserve">  3. Knowledge — Acme scalability concern                         importance 0.78</w:t>
      </w:r>
    </w:p>
    <w:p>
      <w:pPr>
        <w:pStyle w:val="Heading1"/>
        <w:spacing w:after="160" w:before="360"/>
      </w:pPr>
      <w:r>
        <w:t xml:space="preserve">12. Demo Scenarios</w:t>
      </w:r>
    </w:p>
    <w:p>
      <w:pPr>
        <w:pStyle w:val="ListParagraph"/>
        <w:numPr>
          <w:ilvl w:val="0"/>
          <w:numId w:val="2"/>
        </w:numPr>
        <w:spacing w:after="80"/>
      </w:pPr>
      <w:r>
        <w:t xml:space="preserve">Who is Acme? (long-term memory)</w:t>
      </w:r>
    </w:p>
    <w:p>
      <w:pPr>
        <w:pStyle w:val="ListParagraph"/>
        <w:numPr>
          <w:ilvl w:val="0"/>
          <w:numId w:val="2"/>
        </w:numPr>
        <w:spacing w:after="80"/>
      </w:pPr>
      <w:r>
        <w:t xml:space="preserve">What happened in the last meeting? (episodic memory)</w:t>
      </w:r>
    </w:p>
    <w:p>
      <w:pPr>
        <w:pStyle w:val="ListParagraph"/>
        <w:numPr>
          <w:ilvl w:val="0"/>
          <w:numId w:val="2"/>
        </w:numPr>
        <w:spacing w:after="80"/>
      </w:pPr>
      <w:r>
        <w:t xml:space="preserve">Find every AI modernization discussion. (semantic memory)</w:t>
      </w:r>
    </w:p>
    <w:p>
      <w:pPr>
        <w:pStyle w:val="ListParagraph"/>
        <w:numPr>
          <w:ilvl w:val="0"/>
          <w:numId w:val="2"/>
        </w:numPr>
        <w:spacing w:after="80"/>
      </w:pPr>
      <w:r>
        <w:t xml:space="preserve">Recommend discovery questions. (procedural memory)</w:t>
      </w:r>
    </w:p>
    <w:p>
      <w:pPr>
        <w:pStyle w:val="ListParagraph"/>
        <w:numPr>
          <w:ilvl w:val="0"/>
          <w:numId w:val="2"/>
        </w:numPr>
        <w:spacing w:after="80"/>
      </w:pPr>
      <w:r>
        <w:t xml:space="preserve">Remember facts during conversation. (working / short-term memory)</w:t>
      </w:r>
    </w:p>
    <w:p>
      <w:pPr>
        <w:pStyle w:val="ListParagraph"/>
        <w:numPr>
          <w:ilvl w:val="0"/>
          <w:numId w:val="2"/>
        </w:numPr>
        <w:spacing w:after="80"/>
      </w:pPr>
      <w:r>
        <w:t xml:space="preserve">End session and demonstrate persistence boundaries. (working vs. short-term vs. long-term contrast)</w:t>
      </w:r>
    </w:p>
    <w:p>
      <w:pPr>
        <w:pStyle w:val="ListParagraph"/>
        <w:numPr>
          <w:ilvl w:val="0"/>
          <w:numId w:val="2"/>
        </w:numPr>
        <w:spacing w:after="80"/>
      </w:pPr>
      <w:r>
        <w:t xml:space="preserve">Optional advanced beat: trigger an embedding compatibility mismatch in the debug view to show governance in action.</w:t>
      </w:r>
    </w:p>
    <w:p>
      <w:pPr>
        <w:pStyle w:val="Heading1"/>
        <w:spacing w:after="160" w:before="360"/>
      </w:pPr>
      <w:r>
        <w:t xml:space="preserve">13.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2F5496" w:val="clear"/>
            <w:tcMar>
              <w:top w:type="dxa" w:w="80"/>
              <w:left w:type="dxa" w:w="120"/>
              <w:bottom w:type="dxa" w:w="80"/>
              <w:right w:type="dxa" w:w="120"/>
            </w:tcMar>
          </w:tcPr>
          <w:p>
            <w:r>
              <w:rPr>
                <w:b/>
                <w:bCs/>
                <w:color w:val="FFFFFF"/>
                <w:sz w:val="20"/>
                <w:szCs w:val="20"/>
              </w:rPr>
              <w:t xml:space="preserve">Layer</w:t>
            </w:r>
          </w:p>
        </w:tc>
        <w:tc>
          <w:tcPr>
            <w:tcW w:type="dxa" w:w="6850"/>
            <w:shd w:fill="2F5496" w:val="clear"/>
            <w:tcMar>
              <w:top w:type="dxa" w:w="80"/>
              <w:left w:type="dxa" w:w="120"/>
              <w:bottom w:type="dxa" w:w="80"/>
              <w:right w:type="dxa" w:w="120"/>
            </w:tcMar>
          </w:tcPr>
          <w:p>
            <w:r>
              <w:rPr>
                <w:b/>
                <w:bCs/>
                <w:color w:val="FFFFFF"/>
                <w:sz w:val="20"/>
                <w:szCs w:val="20"/>
              </w:rPr>
              <w:t xml:space="preserve">Choice</w:t>
            </w:r>
          </w:p>
        </w:tc>
      </w:tr>
      <w:tr>
        <w:tc>
          <w:tcPr>
            <w:tcW w:type="dxa" w:w="2500"/>
            <w:shd w:fill="FFFFFF" w:val="clear"/>
            <w:tcMar>
              <w:top w:type="dxa" w:w="80"/>
              <w:left w:type="dxa" w:w="120"/>
              <w:bottom w:type="dxa" w:w="80"/>
              <w:right w:type="dxa" w:w="120"/>
            </w:tcMar>
          </w:tcPr>
          <w:p>
            <w:r>
              <w:rPr>
                <w:sz w:val="20"/>
                <w:szCs w:val="20"/>
              </w:rPr>
              <w:t xml:space="preserve">Frontend</w:t>
            </w:r>
          </w:p>
        </w:tc>
        <w:tc>
          <w:tcPr>
            <w:tcW w:type="dxa" w:w="6850"/>
            <w:shd w:fill="FFFFFF" w:val="clear"/>
            <w:tcMar>
              <w:top w:type="dxa" w:w="80"/>
              <w:left w:type="dxa" w:w="120"/>
              <w:bottom w:type="dxa" w:w="80"/>
              <w:right w:type="dxa" w:w="120"/>
            </w:tcMar>
          </w:tcPr>
          <w:p>
            <w:r>
              <w:rPr>
                <w:sz w:val="20"/>
                <w:szCs w:val="20"/>
              </w:rPr>
              <w:t xml:space="preserve">React or Streamlit</w:t>
            </w:r>
          </w:p>
        </w:tc>
      </w:tr>
      <w:tr>
        <w:tc>
          <w:tcPr>
            <w:tcW w:type="dxa" w:w="2500"/>
            <w:shd w:fill="F2F6FB" w:val="clear"/>
            <w:tcMar>
              <w:top w:type="dxa" w:w="80"/>
              <w:left w:type="dxa" w:w="120"/>
              <w:bottom w:type="dxa" w:w="80"/>
              <w:right w:type="dxa" w:w="120"/>
            </w:tcMar>
          </w:tcPr>
          <w:p>
            <w:r>
              <w:rPr>
                <w:sz w:val="20"/>
                <w:szCs w:val="20"/>
              </w:rPr>
              <w:t xml:space="preserve">Backend</w:t>
            </w:r>
          </w:p>
        </w:tc>
        <w:tc>
          <w:tcPr>
            <w:tcW w:type="dxa" w:w="6850"/>
            <w:shd w:fill="F2F6FB" w:val="clear"/>
            <w:tcMar>
              <w:top w:type="dxa" w:w="80"/>
              <w:left w:type="dxa" w:w="120"/>
              <w:bottom w:type="dxa" w:w="80"/>
              <w:right w:type="dxa" w:w="120"/>
            </w:tcMar>
          </w:tcPr>
          <w:p>
            <w:r>
              <w:rPr>
                <w:sz w:val="20"/>
                <w:szCs w:val="20"/>
              </w:rPr>
              <w:t xml:space="preserve">FastAPI</w:t>
            </w:r>
          </w:p>
        </w:tc>
      </w:tr>
      <w:tr>
        <w:tc>
          <w:tcPr>
            <w:tcW w:type="dxa" w:w="2500"/>
            <w:shd w:fill="FFFFFF" w:val="clear"/>
            <w:tcMar>
              <w:top w:type="dxa" w:w="80"/>
              <w:left w:type="dxa" w:w="120"/>
              <w:bottom w:type="dxa" w:w="80"/>
              <w:right w:type="dxa" w:w="120"/>
            </w:tcMar>
          </w:tcPr>
          <w:p>
            <w:r>
              <w:rPr>
                <w:sz w:val="20"/>
                <w:szCs w:val="20"/>
              </w:rPr>
              <w:t xml:space="preserve">Database</w:t>
            </w:r>
          </w:p>
        </w:tc>
        <w:tc>
          <w:tcPr>
            <w:tcW w:type="dxa" w:w="6850"/>
            <w:shd w:fill="FFFFFF" w:val="clear"/>
            <w:tcMar>
              <w:top w:type="dxa" w:w="80"/>
              <w:left w:type="dxa" w:w="120"/>
              <w:bottom w:type="dxa" w:w="80"/>
              <w:right w:type="dxa" w:w="120"/>
            </w:tcMar>
          </w:tcPr>
          <w:p>
            <w:r>
              <w:rPr>
                <w:sz w:val="20"/>
                <w:szCs w:val="20"/>
              </w:rPr>
              <w:t xml:space="preserve">Couchbase Capella</w:t>
            </w:r>
          </w:p>
        </w:tc>
      </w:tr>
      <w:tr>
        <w:tc>
          <w:tcPr>
            <w:tcW w:type="dxa" w:w="2500"/>
            <w:shd w:fill="F2F6FB" w:val="clear"/>
            <w:tcMar>
              <w:top w:type="dxa" w:w="80"/>
              <w:left w:type="dxa" w:w="120"/>
              <w:bottom w:type="dxa" w:w="80"/>
              <w:right w:type="dxa" w:w="120"/>
            </w:tcMar>
          </w:tcPr>
          <w:p>
            <w:r>
              <w:rPr>
                <w:sz w:val="20"/>
                <w:szCs w:val="20"/>
              </w:rPr>
              <w:t xml:space="preserve">AI</w:t>
            </w:r>
          </w:p>
        </w:tc>
        <w:tc>
          <w:tcPr>
            <w:tcW w:type="dxa" w:w="6850"/>
            <w:shd w:fill="F2F6FB" w:val="clear"/>
            <w:tcMar>
              <w:top w:type="dxa" w:w="80"/>
              <w:left w:type="dxa" w:w="120"/>
              <w:bottom w:type="dxa" w:w="80"/>
              <w:right w:type="dxa" w:w="120"/>
            </w:tcMar>
          </w:tcPr>
          <w:p>
            <w:r>
              <w:rPr>
                <w:sz w:val="20"/>
                <w:szCs w:val="20"/>
              </w:rPr>
              <w:t xml:space="preserve">OpenAI / configurable LLM</w:t>
            </w:r>
          </w:p>
        </w:tc>
      </w:tr>
      <w:tr>
        <w:tc>
          <w:tcPr>
            <w:tcW w:type="dxa" w:w="2500"/>
            <w:shd w:fill="FFFFFF" w:val="clear"/>
            <w:tcMar>
              <w:top w:type="dxa" w:w="80"/>
              <w:left w:type="dxa" w:w="120"/>
              <w:bottom w:type="dxa" w:w="80"/>
              <w:right w:type="dxa" w:w="120"/>
            </w:tcMar>
          </w:tcPr>
          <w:p>
            <w:r>
              <w:rPr>
                <w:sz w:val="20"/>
                <w:szCs w:val="20"/>
              </w:rPr>
              <w:t xml:space="preserve">Embeddings</w:t>
            </w:r>
          </w:p>
        </w:tc>
        <w:tc>
          <w:tcPr>
            <w:tcW w:type="dxa" w:w="6850"/>
            <w:shd w:fill="FFFFFF" w:val="clear"/>
            <w:tcMar>
              <w:top w:type="dxa" w:w="80"/>
              <w:left w:type="dxa" w:w="120"/>
              <w:bottom w:type="dxa" w:w="80"/>
              <w:right w:type="dxa" w:w="120"/>
            </w:tcMar>
          </w:tcPr>
          <w:p>
            <w:r>
              <w:rPr>
                <w:sz w:val="20"/>
                <w:szCs w:val="20"/>
              </w:rPr>
              <w:t xml:space="preserve">Configurable (model + dimension tracked per generation)</w:t>
            </w:r>
          </w:p>
        </w:tc>
      </w:tr>
      <w:tr>
        <w:tc>
          <w:tcPr>
            <w:tcW w:type="dxa" w:w="2500"/>
            <w:shd w:fill="F2F6FB" w:val="clear"/>
            <w:tcMar>
              <w:top w:type="dxa" w:w="80"/>
              <w:left w:type="dxa" w:w="120"/>
              <w:bottom w:type="dxa" w:w="80"/>
              <w:right w:type="dxa" w:w="120"/>
            </w:tcMar>
          </w:tcPr>
          <w:p>
            <w:r>
              <w:rPr>
                <w:sz w:val="20"/>
                <w:szCs w:val="20"/>
              </w:rPr>
              <w:t xml:space="preserve">Visualization</w:t>
            </w:r>
          </w:p>
        </w:tc>
        <w:tc>
          <w:tcPr>
            <w:tcW w:type="dxa" w:w="6850"/>
            <w:shd w:fill="F2F6FB" w:val="clear"/>
            <w:tcMar>
              <w:top w:type="dxa" w:w="80"/>
              <w:left w:type="dxa" w:w="120"/>
              <w:bottom w:type="dxa" w:w="80"/>
              <w:right w:type="dxa" w:w="120"/>
            </w:tcMar>
          </w:tcPr>
          <w:p>
            <w:r>
              <w:rPr>
                <w:sz w:val="20"/>
                <w:szCs w:val="20"/>
              </w:rPr>
              <w:t xml:space="preserve">SVG / D3 or React Flow</w:t>
            </w:r>
          </w:p>
        </w:tc>
      </w:tr>
    </w:tbl>
    <w:p>
      <w:pPr>
        <w:pStyle w:val="Heading1"/>
        <w:spacing w:after="160" w:before="360"/>
      </w:pPr>
      <w:r>
        <w:t xml:space="preserve">14. Future Enhancements</w:t>
      </w:r>
    </w:p>
    <w:p>
      <w:pPr>
        <w:pStyle w:val="ListParagraph"/>
        <w:numPr>
          <w:ilvl w:val="0"/>
          <w:numId w:val="2"/>
        </w:numPr>
        <w:spacing w:after="80"/>
      </w:pPr>
      <w:r>
        <w:t xml:space="preserve">Multi-agent collaboration</w:t>
      </w:r>
    </w:p>
    <w:p>
      <w:pPr>
        <w:pStyle w:val="ListParagraph"/>
        <w:numPr>
          <w:ilvl w:val="0"/>
          <w:numId w:val="2"/>
        </w:numPr>
        <w:spacing w:after="80"/>
      </w:pPr>
      <w:r>
        <w:t xml:space="preserve">Memory aging and summarization</w:t>
      </w:r>
    </w:p>
    <w:p>
      <w:pPr>
        <w:pStyle w:val="ListParagraph"/>
        <w:numPr>
          <w:ilvl w:val="0"/>
          <w:numId w:val="2"/>
        </w:numPr>
        <w:spacing w:after="80"/>
      </w:pPr>
      <w:r>
        <w:t xml:space="preserve">Persona memory</w:t>
      </w:r>
    </w:p>
    <w:p>
      <w:pPr>
        <w:pStyle w:val="ListParagraph"/>
        <w:numPr>
          <w:ilvl w:val="0"/>
          <w:numId w:val="2"/>
        </w:numPr>
        <w:spacing w:after="80"/>
      </w:pPr>
      <w:r>
        <w:t xml:space="preserve">Observability dashboard</w:t>
      </w:r>
    </w:p>
    <w:p>
      <w:pPr>
        <w:pStyle w:val="ListParagraph"/>
        <w:numPr>
          <w:ilvl w:val="0"/>
          <w:numId w:val="2"/>
        </w:numPr>
        <w:spacing w:after="80"/>
      </w:pPr>
      <w:r>
        <w:t xml:space="preserve">Benchmark mode</w:t>
      </w:r>
    </w:p>
    <w:p>
      <w:pPr>
        <w:pStyle w:val="ListParagraph"/>
        <w:numPr>
          <w:ilvl w:val="0"/>
          <w:numId w:val="2"/>
        </w:numPr>
        <w:spacing w:after="80"/>
      </w:pPr>
      <w:r>
        <w:t xml:space="preserve">Vector representations for episodic and procedural memory</w:t>
      </w:r>
    </w:p>
    <w:p>
      <w:pPr>
        <w:pStyle w:val="ListParagraph"/>
        <w:numPr>
          <w:ilvl w:val="0"/>
          <w:numId w:val="2"/>
        </w:numPr>
        <w:spacing w:after="80"/>
      </w:pPr>
      <w:r>
        <w:t xml:space="preserve">Content-based evidence clustering and semantic duplicate detection across memory types</w:t>
      </w:r>
    </w:p>
    <w:p>
      <w:pPr>
        <w:pStyle w:val="Heading1"/>
        <w:spacing w:after="160" w:before="360"/>
      </w:pPr>
      <w:r>
        <w:t xml:space="preserve">15. Success Criteria</w:t>
      </w:r>
    </w:p>
    <w:p>
      <w:pPr>
        <w:pStyle w:val="ListParagraph"/>
        <w:numPr>
          <w:ilvl w:val="0"/>
          <w:numId w:val="2"/>
        </w:numPr>
        <w:spacing w:after="80"/>
      </w:pPr>
      <w:r>
        <w:t xml:space="preserve">Audience immediately understands the distinction between RAG and enterprise agent memory.</w:t>
      </w:r>
    </w:p>
    <w:p>
      <w:pPr>
        <w:pStyle w:val="ListParagraph"/>
        <w:numPr>
          <w:ilvl w:val="0"/>
          <w:numId w:val="2"/>
        </w:numPr>
        <w:spacing w:after="80"/>
      </w:pPr>
      <w:r>
        <w:t xml:space="preserve">Every Capella service has a visible role.</w:t>
      </w:r>
    </w:p>
    <w:p>
      <w:pPr>
        <w:pStyle w:val="ListParagraph"/>
        <w:numPr>
          <w:ilvl w:val="0"/>
          <w:numId w:val="2"/>
        </w:numPr>
        <w:spacing w:after="80"/>
      </w:pPr>
      <w:r>
        <w:t xml:space="preserve">The classifier-as-evidence / LLM-as-router distinction is legible in the UI, not just the architecture doc.</w:t>
      </w:r>
    </w:p>
    <w:p>
      <w:pPr>
        <w:pStyle w:val="ListParagraph"/>
        <w:numPr>
          <w:ilvl w:val="0"/>
          <w:numId w:val="2"/>
        </w:numPr>
        <w:spacing w:after="80"/>
      </w:pPr>
      <w:r>
        <w:t xml:space="preserve">Embedding governance (generations, active filtering, compatibility checks) is demonstrable on request without derailing the primary demo flow.</w:t>
      </w:r>
    </w:p>
    <w:p>
      <w:pPr>
        <w:pStyle w:val="ListParagraph"/>
        <w:numPr>
          <w:ilvl w:val="0"/>
          <w:numId w:val="2"/>
        </w:numPr>
        <w:spacing w:after="80"/>
      </w:pPr>
      <w:r>
        <w:t xml:space="preserve">Demo is reusable by SEs without engineering support.</w:t>
      </w:r>
    </w:p>
    <w:p>
      <w:pPr>
        <w:pStyle w:val="Heading1"/>
        <w:spacing w:after="160" w:before="360"/>
      </w:pPr>
      <w:r>
        <w:t xml:space="preserve">16. Open Decisions</w:t>
      </w:r>
    </w:p>
    <w:p>
      <w:pPr>
        <w:spacing w:after="160"/>
      </w:pPr>
      <w:r>
        <w:t xml:space="preserve">Carried forward explicitly so they are resolved on purpose, not silently. Scope placement of source_documents is now locked (Section 7) and removed from this list.</w:t>
      </w:r>
    </w:p>
    <w:p>
      <w:pPr>
        <w:pStyle w:val="ListParagraph"/>
        <w:numPr>
          <w:ilvl w:val="0"/>
          <w:numId w:val="2"/>
        </w:numPr>
        <w:spacing w:after="80"/>
      </w:pPr>
      <w:r>
        <w:t xml:space="preserve">routing_traces retention policy — same lifecycle as memory_audit, or shorter-lived given it is per-query debug data?</w:t>
      </w:r>
    </w:p>
    <w:p>
      <w:pPr>
        <w:pStyle w:val="ListParagraph"/>
        <w:numPr>
          <w:ilvl w:val="0"/>
          <w:numId w:val="2"/>
        </w:numPr>
        <w:spacing w:after="80"/>
      </w:pPr>
      <w:r>
        <w:t xml:space="preserve">Whether the brief dual-active window during embedding promotion needs an application-level lock for v1, or remains an accepted limitation.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2026-07-22T20:32:03.790Z</dcterms:created>
  <dcterms:modified xsi:type="dcterms:W3CDTF">2026-07-22T20:32:03.792Z</dcterms:modified>
</cp:coreProperties>
</file>

<file path=docProps/custom.xml><?xml version="1.0" encoding="utf-8"?>
<Properties xmlns="http://schemas.openxmlformats.org/officeDocument/2006/custom-properties" xmlns:vt="http://schemas.openxmlformats.org/officeDocument/2006/docPropsVTypes"/>
</file>