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Quantic: Proposed Architecture for Sales</w:t>
      </w:r>
    </w:p>
    <w:p>
      <w:pPr/>
      <w:r>
        <w:t xml:space="preserve">Oct 17, 2026</w:t>
      </w:r>
      <w:r>
        <w:t xml:space="preserve"> · </w:t>
      </w:r>
      <w:r>
        <w:t xml:space="preserve">@Mel Boulos</w:t>
      </w:r>
    </w:p>
    <w:p>
      <w:pPr>
        <w:pStyle w:val="Heading2"/>
      </w:pPr>
      <w:r>
        <w:t xml:space="preserve">Bottom line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Quantic gets a modern architecture at about today's credit burn</w:t>
      </w:r>
      <w:r>
        <w:t xml:space="preserve">: 90-day hot tier, full history in a shadow store, Analytics inside the cluster.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Funded by consolidation, not new spend</w:t>
      </w:r>
      <w:r>
        <w:t xml:space="preserve">: the unused Columnar instance and an oversized Index tier pay for Analytics and dedicated Eventing.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Proven on our own Capella cluster</w:t>
      </w:r>
      <w:r>
        <w:t xml:space="preserve">, at half Quantic's scale, with Quantic's data model.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Opens the AIDP / MCP conversation</w:t>
      </w:r>
      <w:r>
        <w:t xml:space="preserve">: AI agents answer operational and historical questions safely, already demo-ready.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Commit sizing</w:t>
      </w:r>
      <w:r>
        <w:t xml:space="preserve">: should reflect current consumption (~22.5K credits/mo today) plus a few transition months.</w:t>
      </w:r>
    </w:p>
    <w:p>
      <w:pPr>
        <w:pStyle w:val="Heading2"/>
      </w:pPr>
      <w:r>
        <w:t xml:space="preserve">Why it matters to Quantic</w:t>
      </w:r>
    </w:p>
    <w:p>
      <w:pPr/>
      <w:r>
        <w:t xml:space="preserve">Today Quantic ages data out to control cost, so the questions merchants and Quantic care most about stop being answerable.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Who they serve</w:t>
      </w:r>
      <w:r>
        <w:t xml:space="preserve">: a cloud, processor-agnostic POS for independent restaurants, cafés, bars and food trucks, sold largely through resellers.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How data arrives</w:t>
      </w:r>
      <w:r>
        <w:t xml:space="preserve">: iOS, Android and web POS apps sync through Couchbase Mobile; </w:t>
      </w:r>
      <w:r>
        <w:rPr>
          <w:rStyle w:val="CodeChar"/>
        </w:rPr>
        <w:t xml:space="preserve">commChannel</w:t>
      </w:r>
      <w:r>
        <w:t xml:space="preserve"> is the merchant and the sync channel (to confirm with Quantic).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Today</w:t>
      </w:r>
      <w:r>
        <w:t xml:space="preserve">: every document type shares one </w:t>
      </w:r>
      <w:r>
        <w:rPr>
          <w:rStyle w:val="CodeChar"/>
        </w:rPr>
        <w:t xml:space="preserve">_default</w:t>
      </w:r>
      <w:r>
        <w:t xml:space="preserve"> collection, told apart by a </w:t>
      </w:r>
      <w:r>
        <w:rPr>
          <w:rStyle w:val="CodeChar"/>
        </w:rPr>
        <w:t xml:space="preserve">docType</w:t>
      </w:r>
      <w:r>
        <w:t xml:space="preserve"> field, and older data is aged out.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What gets lost</w:t>
      </w:r>
      <w:r>
        <w:t xml:space="preserve">: year-over-year sales, seasonal and holiday patterns, menu trends, and early warning that a merchant is about to churn.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fix</w:t>
      </w:r>
      <w:r>
        <w:t xml:space="preserve">: keep recent data fast and small, keep years of history affordably, and make both answerable in plain English.</w:t>
      </w:r>
    </w:p>
    <w:p>
      <w:pPr>
        <w:pStyle w:val="Heading2"/>
      </w:pPr>
      <w:r>
        <w:t xml:space="preserve">What we tested</w:t>
      </w:r>
    </w:p>
    <w:p>
      <w:pPr/>
      <w:r>
        <w:t xml:space="preserve">We rebuilt Quantic's POS data model on Capella (17 collections, 225 merchants, 3 years) and ran their real queries plus a demo set.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TTL works per document</w:t>
      </w:r>
      <w:r>
        <w:t xml:space="preserve">: each hot doc expires exactly 90 days after it was created, not 90 days after load. This avoids an "expiry storm" after migration.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Eventing copy is exact</w:t>
      </w:r>
      <w:r>
        <w:t xml:space="preserve">: in a sample, 408 of 408 history copies were identical to the hot doc and carried no TTL. It backfilled about 12.4M docs in minutes, with 0 failures.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Analytics keeps up</w:t>
      </w:r>
      <w:r>
        <w:t xml:space="preserve">: history is ingested within seconds of the copy.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Query alone gives wrong answers on old data</w:t>
      </w:r>
      <w:r>
        <w:t xml:space="preserve">: after the 90-day cutoff, a churn report on Query showed merchants up 1–2%. Analytics on history showed them down 20%, and ran 30% faster.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Recent lookups are unaffected</w:t>
      </w:r>
      <w:r>
        <w:t xml:space="preserve">: Quantic's own queries return the same rows at the same speed.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Found a gap in Quantic's Eventing filter</w:t>
      </w:r>
      <w:r>
        <w:t xml:space="preserve">: </w:t>
      </w:r>
      <w:r>
        <w:rPr>
          <w:rStyle w:val="CodeChar"/>
        </w:rPr>
        <w:t xml:space="preserve">isClosed === 1</w:t>
      </w:r>
      <w:r>
        <w:t xml:space="preserve"> alone silently skips record types without that field (transactionDetail). Fixed in our design.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Realistic data</w:t>
      </w:r>
      <w:r>
        <w:t xml:space="preserve">: the synthetic dataset follows Quantic's production document shapes field for field, built from 14 sample documents Quantic provided; no real IDs or menus are reused.</w:t>
      </w:r>
    </w:p>
    <w:p>
      <w:pPr>
        <w:pStyle w:val="Heading2"/>
      </w:pPr>
      <w:r>
        <w:t xml:space="preserve">Today vs. proposed (qdb-us)</w:t>
      </w:r>
    </w:p>
    <w:p>
      <w:pPr/>
      <w:r>
        <w:t xml:space="preserve">The new layout runs at about 5% fewer credits than today, before a disk increase for Quantic's 4 KB documents.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6"/>
        <w:gridCol w:w="1919"/>
        <w:gridCol w:w="1943"/>
        <w:gridCol w:w="3802"/>
      </w:tblGrid>
      <w:tr>
        <w:trPr>
          <w:tblHeader/>
        </w:trPr>
        <w:tc>
          <w:tcPr>
            <w:tcW w:w="1696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1919" w:type="dxa"/>
            <w:shd w:val="clear" w:color="auto" w:fill="F2F2F2"/>
          </w:tcPr>
          <w:p>
            <w:pPr/>
            <w:r>
              <w:t xml:space="preserve">Today</w:t>
            </w:r>
          </w:p>
        </w:tc>
        <w:tc>
          <w:tcPr>
            <w:tcW w:w="1943" w:type="dxa"/>
            <w:shd w:val="clear" w:color="auto" w:fill="F2F2F2"/>
          </w:tcPr>
          <w:p>
            <w:pPr/>
            <w:r>
              <w:t xml:space="preserve">Proposed</w:t>
            </w:r>
          </w:p>
        </w:tc>
        <w:tc>
          <w:tcPr>
            <w:tcW w:w="3802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Data</w:t>
            </w:r>
          </w:p>
        </w:tc>
        <w:tc>
          <w:tcPr>
            <w:tcW w:w="1919" w:type="dxa"/>
          </w:tcPr>
          <w:p>
            <w:pPr/>
            <w:r>
              <w:t xml:space="preserve">3 × 8 vCPU/64 GB, 3.8 TB</w:t>
            </w:r>
          </w:p>
        </w:tc>
        <w:tc>
          <w:tcPr>
            <w:tcW w:w="1943" w:type="dxa"/>
          </w:tcPr>
          <w:p>
            <w:pPr/>
            <w:r>
              <w:t xml:space="preserve">3 × 8/64, 6 TB recommended</w:t>
            </w:r>
          </w:p>
        </w:tc>
        <w:tc>
          <w:tcPr>
            <w:tcW w:w="3802" w:type="dxa"/>
          </w:tcPr>
          <w:p>
            <w:pPr/>
            <w:r>
              <w:t xml:space="preserve">Hot bucket (90-day TTL) + shadow bucket (full history, no TTL)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Index</w:t>
            </w:r>
          </w:p>
        </w:tc>
        <w:tc>
          <w:tcPr>
            <w:tcW w:w="1919" w:type="dxa"/>
          </w:tcPr>
          <w:p>
            <w:pPr/>
            <w:r>
              <w:t xml:space="preserve">4 × 16 vCPU/128 GB</w:t>
            </w:r>
          </w:p>
        </w:tc>
        <w:tc>
          <w:tcPr>
            <w:tcW w:w="1943" w:type="dxa"/>
          </w:tcPr>
          <w:p>
            <w:pPr/>
            <w:r>
              <w:t xml:space="preserve">2 × 8/64</w:t>
            </w:r>
          </w:p>
        </w:tc>
        <w:tc>
          <w:tcPr>
            <w:tcW w:w="3802" w:type="dxa"/>
          </w:tcPr>
          <w:p>
            <w:pPr/>
            <w:r>
              <w:t xml:space="preserve">Indexes only cover 90 days of data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Query</w:t>
            </w:r>
          </w:p>
        </w:tc>
        <w:tc>
          <w:tcPr>
            <w:tcW w:w="1919" w:type="dxa"/>
          </w:tcPr>
          <w:p>
            <w:pPr/>
            <w:r>
              <w:t xml:space="preserve">Shared with Eventing</w:t>
            </w:r>
          </w:p>
        </w:tc>
        <w:tc>
          <w:tcPr>
            <w:tcW w:w="1943" w:type="dxa"/>
          </w:tcPr>
          <w:p>
            <w:pPr/>
            <w:r>
              <w:t xml:space="preserve">2 × 8/64, dedicated</w:t>
            </w:r>
          </w:p>
        </w:tc>
        <w:tc>
          <w:tcPr>
            <w:tcW w:w="3802" w:type="dxa"/>
          </w:tcPr>
          <w:p>
            <w:pPr/>
            <w:r>
              <w:t xml:space="preserve">Recent, selective queries only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Eventing</w:t>
            </w:r>
          </w:p>
        </w:tc>
        <w:tc>
          <w:tcPr>
            <w:tcW w:w="1919" w:type="dxa"/>
          </w:tcPr>
          <w:p>
            <w:pPr/>
            <w:r>
              <w:t xml:space="preserve">Shared with Query</w:t>
            </w:r>
          </w:p>
        </w:tc>
        <w:tc>
          <w:tcPr>
            <w:tcW w:w="1943" w:type="dxa"/>
          </w:tcPr>
          <w:p>
            <w:pPr/>
            <w:r>
              <w:t xml:space="preserve">2 × 8/16, dedicated</w:t>
            </w:r>
          </w:p>
        </w:tc>
        <w:tc>
          <w:tcPr>
            <w:tcW w:w="3802" w:type="dxa"/>
          </w:tcPr>
          <w:p>
            <w:pPr/>
            <w:r>
              <w:t xml:space="preserve">Copy path never competes with user queries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Analytics</w:t>
            </w:r>
          </w:p>
        </w:tc>
        <w:tc>
          <w:tcPr>
            <w:tcW w:w="1919" w:type="dxa"/>
          </w:tcPr>
          <w:p>
            <w:pPr/>
            <w:r>
              <w:t xml:space="preserve">None in cluster</w:t>
            </w:r>
          </w:p>
        </w:tc>
        <w:tc>
          <w:tcPr>
            <w:tcW w:w="1943" w:type="dxa"/>
          </w:tcPr>
          <w:p>
            <w:pPr/>
            <w:r>
              <w:t xml:space="preserve">4 × 8/32, ~1.1 TB each</w:t>
            </w:r>
          </w:p>
        </w:tc>
        <w:tc>
          <w:tcPr>
            <w:tcW w:w="3802" w:type="dxa"/>
          </w:tcPr>
          <w:p>
            <w:pPr/>
            <w:r>
              <w:t xml:space="preserve">History, reporting and AI agents</w:t>
            </w:r>
          </w:p>
        </w:tc>
      </w:tr>
      <w:tr>
        <w:tc>
          <w:tcPr>
            <w:tcW w:w="1696" w:type="dxa"/>
          </w:tcPr>
          <w:p>
            <w:pPr/>
            <w:r>
              <w:t xml:space="preserve">App Services</w:t>
            </w:r>
          </w:p>
        </w:tc>
        <w:tc>
          <w:tcPr>
            <w:tcW w:w="1919" w:type="dxa"/>
          </w:tcPr>
          <w:p>
            <w:pPr/>
            <w:r>
              <w:t xml:space="preserve">3 × 8/16</w:t>
            </w:r>
          </w:p>
        </w:tc>
        <w:tc>
          <w:tcPr>
            <w:tcW w:w="1943" w:type="dxa"/>
          </w:tcPr>
          <w:p>
            <w:pPr/>
            <w:r>
              <w:t xml:space="preserve">Unchanged</w:t>
            </w:r>
          </w:p>
        </w:tc>
        <w:tc>
          <w:tcPr>
            <w:tcW w:w="3802" w:type="dxa"/>
          </w:tcPr>
          <w:p>
            <w:pPr/>
            <w:r>
              <w:t xml:space="preserve">Scale up briefly for cutover</w:t>
            </w:r>
          </w:p>
        </w:tc>
      </w:tr>
      <w:tr>
        <w:tc>
          <w:tcPr>
            <w:tcW w:w="1696" w:type="dxa"/>
          </w:tcPr>
          <w:p>
            <w:pPr/>
            <w:r>
              <w:rPr>
                <w:b/>
              </w:rPr>
              <w:t xml:space="preserve">Credits/mo, cluster</w:t>
            </w:r>
          </w:p>
        </w:tc>
        <w:tc>
          <w:tcPr>
            <w:tcW w:w="1919" w:type="dxa"/>
          </w:tcPr>
          <w:p>
            <w:pPr/>
            <w:r>
              <w:rPr>
                <w:b/>
              </w:rPr>
              <w:t xml:space="preserve">11,651</w:t>
            </w:r>
          </w:p>
        </w:tc>
        <w:tc>
          <w:tcPr>
            <w:tcW w:w="1943" w:type="dxa"/>
          </w:tcPr>
          <w:p>
            <w:pPr/>
            <w:r>
              <w:rPr>
                <w:b/>
              </w:rPr>
              <w:t xml:space="preserve">10,954</w:t>
            </w:r>
          </w:p>
        </w:tc>
        <w:tc>
          <w:tcPr>
            <w:tcW w:w="3802" w:type="dxa"/>
          </w:tcPr>
          <w:p>
            <w:pPr/>
            <w:r>
              <w:t xml:space="preserve">Actual vs. Capella estimator</w:t>
            </w:r>
          </w:p>
        </w:tc>
      </w:tr>
      <w:tr>
        <w:tc>
          <w:tcPr>
            <w:tcW w:w="1696" w:type="dxa"/>
          </w:tcPr>
          <w:p>
            <w:pPr/>
            <w:r>
              <w:rPr>
                <w:b/>
              </w:rPr>
              <w:t xml:space="preserve">Credits/mo, App Services</w:t>
            </w:r>
          </w:p>
        </w:tc>
        <w:tc>
          <w:tcPr>
            <w:tcW w:w="1919" w:type="dxa"/>
          </w:tcPr>
          <w:p>
            <w:pPr/>
            <w:r>
              <w:rPr>
                <w:b/>
              </w:rPr>
              <w:t xml:space="preserve">2,657</w:t>
            </w:r>
          </w:p>
        </w:tc>
        <w:tc>
          <w:tcPr>
            <w:tcW w:w="1943" w:type="dxa"/>
          </w:tcPr>
          <w:p>
            <w:pPr/>
            <w:r>
              <w:rPr>
                <w:b/>
              </w:rPr>
              <w:t xml:space="preserve">2,657</w:t>
            </w:r>
          </w:p>
        </w:tc>
        <w:tc>
          <w:tcPr>
            <w:tcW w:w="3802" w:type="dxa"/>
          </w:tcPr>
          <w:p>
            <w:pPr/>
            <w:r>
              <w:t xml:space="preserve">Unchanged</w:t>
            </w:r>
          </w:p>
        </w:tc>
      </w:tr>
      <w:tr>
        <w:tc>
          <w:tcPr>
            <w:tcW w:w="1696" w:type="dxa"/>
          </w:tcPr>
          <w:p>
            <w:pPr/>
            <w:r>
              <w:rPr>
                <w:b/>
              </w:rPr>
              <w:t xml:space="preserve">Credits/mo, total</w:t>
            </w:r>
          </w:p>
        </w:tc>
        <w:tc>
          <w:tcPr>
            <w:tcW w:w="1919" w:type="dxa"/>
          </w:tcPr>
          <w:p>
            <w:pPr/>
            <w:r>
              <w:rPr>
                <w:b/>
              </w:rPr>
              <w:t xml:space="preserve">14,308</w:t>
            </w:r>
          </w:p>
        </w:tc>
        <w:tc>
          <w:tcPr>
            <w:tcW w:w="1943" w:type="dxa"/>
          </w:tcPr>
          <w:p>
            <w:pPr/>
            <w:r>
              <w:rPr>
                <w:b/>
              </w:rPr>
              <w:t xml:space="preserve">13,611</w:t>
            </w:r>
          </w:p>
        </w:tc>
        <w:tc>
          <w:tcPr>
            <w:tcW w:w="3802" w:type="dxa"/>
          </w:tcPr>
          <w:p>
            <w:pPr/>
            <w:r>
              <w:t xml:space="preserve">About −5%</w:t>
            </w:r>
          </w:p>
        </w:tc>
      </w:tr>
    </w:tbl>
    <w:p>
      <w:pPr/>
      <w:r>
        <w:t xml:space="preserve">The proposed figures use 1.5 TB per Data node and 800 GB per Analytics node. The recommended disk sizes add a small amount to price.</w:t>
      </w:r>
    </w:p>
    <w:p>
      <w:pPr/>
      <w:r>
        <w:rPr>
          <w:b/>
        </w:rPr>
        <w:t xml:space="preserve">Index design</w:t>
      </w:r>
      <w:r>
        <w:t xml:space="preserve">: no </w:t>
      </w:r>
      <w:r>
        <w:rPr>
          <w:rStyle w:val="CodeChar"/>
        </w:rPr>
        <w:t xml:space="preserve">docType</w:t>
      </w:r>
      <w:r>
        <w:t xml:space="preserve"> filters (the collection is the type), partial indexes on the state that defines a sale, covering indexes for common aggregates, no primary indexes, and large indexes built deferred and partitioned. 18 indexes cover every customer and demo query.</w:t>
      </w:r>
    </w:p>
    <w:p>
      <w:pPr>
        <w:pStyle w:val="Heading2"/>
      </w:pPr>
      <w:r>
        <w:t xml:space="preserve">The good news: consolidation pays for it</w:t>
      </w:r>
    </w:p>
    <w:p>
      <w:pPr/>
      <w:r>
        <w:t xml:space="preserve">Quantic already pays for the capacity the new design needs; it is just in the wrong places.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Repurpose the unused Columnar instance</w:t>
      </w:r>
      <w:r>
        <w:t xml:space="preserve">: quanticanalytics (2 × 8/64) shows 0 buckets and 0 documents. Its spend, about 2K credits/mo, moves into in-cluster Analytics.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Right-size the Index tier</w:t>
      </w:r>
      <w:r>
        <w:t xml:space="preserve">: 4 × 16/128 shrinks to 2 × 8/64 once the old </w:t>
      </w:r>
      <w:r>
        <w:rPr>
          <w:rStyle w:val="CodeChar"/>
        </w:rPr>
        <w:t xml:space="preserve">_default</w:t>
      </w:r>
      <w:r>
        <w:t xml:space="preserve"> indexes are dropped. That funds Analytics nodes 3–4, dedicated Eventing and a separate Query tier.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One cluster instead of two</w:t>
      </w:r>
      <w:r>
        <w:t xml:space="preserve">: one set of links, one security model, one bill, one place for AI agents to connect.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Framing</w:t>
      </w:r>
      <w:r>
        <w:t xml:space="preserve">: in Capella this moves spend, not servers. We retire Columnar and resize service groups; nothing is physically moved.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Magma keeps history affordable</w:t>
      </w:r>
      <w:r>
        <w:t xml:space="preserve">: Couchbase reports Magma runs at as little as 1% memory-to-data, holds up to 10 TB per node, and lowers total cost of ownership by up to 10× versus Couchstore. History is written once and read in scans, so memory is the cost that matters.</w:t>
      </w:r>
    </w:p>
    <w:p>
      <w:pPr>
        <w:pStyle w:val="Heading2"/>
      </w:pPr>
      <w:r>
        <w:t xml:space="preserve">AI Data Plane (AIDP): the upside</w:t>
      </w:r>
    </w:p>
    <w:p>
      <w:pPr/>
      <w:r>
        <w:t xml:space="preserve">The AI Data Plane turns Quantic's operational data into something anyone can question in plain English, without a data warehouse, ETL or a BI team, and it runs on the same consolidated cluster.</w:t>
      </w:r>
    </w:p>
    <w:p>
      <w:pPr>
        <w:pStyle w:val="Heading3"/>
      </w:pPr>
      <w:r>
        <w:t xml:space="preserve">What AIDP is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One governed layer</w:t>
      </w:r>
      <w:r>
        <w:t xml:space="preserve"> between Quantic's live data and AI assistants: the hot tier for what is happening now, the history store for everything that happened, both reachable through read-only MCP servers.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copies, no pipelines</w:t>
      </w:r>
      <w:r>
        <w:t xml:space="preserve">: the AI reads the same data the POS writes, seconds old, not last night's extract.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Guardrails built in</w:t>
      </w:r>
      <w:r>
        <w:t xml:space="preserve">: read-only access, a routing rule that sends older questions to Analytics, and per-query limits.</w:t>
      </w:r>
    </w:p>
    <w:p>
      <w:pPr>
        <w:pStyle w:val="Heading3"/>
      </w:pPr>
      <w:r>
        <w:t xml:space="preserve">Why it matters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4775"/>
        <w:gridCol w:w="3122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For</w:t>
            </w:r>
          </w:p>
        </w:tc>
        <w:tc>
          <w:tcPr>
            <w:tcW w:w="4775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2" w:type="dxa"/>
            <w:shd w:val="clear" w:color="auto" w:fill="F2F2F2"/>
          </w:tcPr>
          <w:p>
            <w:pPr/>
            <w:r>
              <w:t xml:space="preserve">Example question</w:t>
            </w:r>
          </w:p>
        </w:tc>
      </w:tr>
      <w:tr>
        <w:tc>
          <w:tcPr>
            <w:tcW w:w="1463" w:type="dxa"/>
          </w:tcPr>
          <w:p>
            <w:pPr/>
            <w:r>
              <w:rPr>
                <w:b/>
              </w:rPr>
              <w:t xml:space="preserve">Quantic leadership</w:t>
            </w:r>
          </w:p>
        </w:tc>
        <w:tc>
          <w:tcPr>
            <w:tcW w:w="4775" w:type="dxa"/>
          </w:tcPr>
          <w:p>
            <w:pPr/>
            <w:r>
              <w:t xml:space="preserve">Decisions from data Quantic already owns, in minutes instead of a report request</w:t>
            </w:r>
          </w:p>
        </w:tc>
        <w:tc>
          <w:tcPr>
            <w:tcW w:w="3122" w:type="dxa"/>
          </w:tcPr>
          <w:p>
            <w:pPr/>
            <w:r>
              <w:t xml:space="preserve">"Which merchants are at risk, and how much revenue is at stake?"</w:t>
            </w:r>
          </w:p>
        </w:tc>
      </w:tr>
      <w:tr>
        <w:tc>
          <w:tcPr>
            <w:tcW w:w="1463" w:type="dxa"/>
          </w:tcPr>
          <w:p>
            <w:pPr/>
            <w:r>
              <w:rPr>
                <w:b/>
              </w:rPr>
              <w:t xml:space="preserve">Quantic product and sales</w:t>
            </w:r>
          </w:p>
        </w:tc>
        <w:tc>
          <w:tcPr>
            <w:tcW w:w="4775" w:type="dxa"/>
          </w:tcPr>
          <w:p>
            <w:pPr/>
            <w:r>
              <w:t xml:space="preserve">A new, sellable insights product for merchants, built on cross-merchant data only a platform has</w:t>
            </w:r>
          </w:p>
        </w:tc>
        <w:tc>
          <w:tcPr>
            <w:tcW w:w="3122" w:type="dxa"/>
          </w:tcPr>
          <w:p>
            <w:pPr/>
            <w:r>
              <w:t xml:space="preserve">"How does my store compare to similar restaurants in my state?"</w:t>
            </w:r>
          </w:p>
        </w:tc>
      </w:tr>
      <w:tr>
        <w:tc>
          <w:tcPr>
            <w:tcW w:w="1463" w:type="dxa"/>
          </w:tcPr>
          <w:p>
            <w:pPr/>
            <w:r>
              <w:rPr>
                <w:b/>
              </w:rPr>
              <w:t xml:space="preserve">Merchants</w:t>
            </w:r>
          </w:p>
        </w:tc>
        <w:tc>
          <w:tcPr>
            <w:tcW w:w="4775" w:type="dxa"/>
          </w:tcPr>
          <w:p>
            <w:pPr/>
            <w:r>
              <w:t xml:space="preserve">Answers about menu, labor, voids and seasonality without exporting spreadsheets</w:t>
            </w:r>
          </w:p>
        </w:tc>
        <w:tc>
          <w:tcPr>
            <w:tcW w:w="3122" w:type="dxa"/>
          </w:tcPr>
          <w:p>
            <w:pPr/>
            <w:r>
              <w:t xml:space="preserve">"Why did salmon sales stop at Fishtown last week?"</w:t>
            </w:r>
          </w:p>
        </w:tc>
      </w:tr>
      <w:tr>
        <w:tc>
          <w:tcPr>
            <w:tcW w:w="1463" w:type="dxa"/>
          </w:tcPr>
          <w:p>
            <w:pPr/>
            <w:r>
              <w:rPr>
                <w:b/>
              </w:rPr>
              <w:t xml:space="preserve">Quantic support and success</w:t>
            </w:r>
          </w:p>
        </w:tc>
        <w:tc>
          <w:tcPr>
            <w:tcW w:w="4775" w:type="dxa"/>
          </w:tcPr>
          <w:p>
            <w:pPr/>
            <w:r>
              <w:t xml:space="preserve">Faster root cause on merchant tickets: the assistant traces a problem across collections</w:t>
            </w:r>
          </w:p>
        </w:tc>
        <w:tc>
          <w:tcPr>
            <w:tcW w:w="3122" w:type="dxa"/>
          </w:tcPr>
          <w:p>
            <w:pPr/>
            <w:r>
              <w:t xml:space="preserve">"Why was this location's week flat?"</w:t>
            </w:r>
          </w:p>
        </w:tc>
      </w:tr>
      <w:tr>
        <w:tc>
          <w:tcPr>
            <w:tcW w:w="1463" w:type="dxa"/>
          </w:tcPr>
          <w:p>
            <w:pPr/>
            <w:r>
              <w:rPr>
                <w:b/>
              </w:rPr>
              <w:t xml:space="preserve">Engineering</w:t>
            </w:r>
          </w:p>
        </w:tc>
        <w:tc>
          <w:tcPr>
            <w:tcW w:w="4775" w:type="dxa"/>
          </w:tcPr>
          <w:p>
            <w:pPr/>
            <w:r>
              <w:t xml:space="preserve">No warehouse to build or keep in sync; one security model; the index advisor on the same connection</w:t>
            </w:r>
          </w:p>
        </w:tc>
        <w:tc>
          <w:tcPr>
            <w:tcW w:w="3122" w:type="dxa"/>
          </w:tcPr>
          <w:p>
            <w:pPr/>
            <w:r>
              <w:t xml:space="preserve">"Is the query you just ran using a good index?"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moat</w:t>
      </w:r>
      <w:r>
        <w:t xml:space="preserve">: years of transaction history across hundreds of merchants is data no single restaurant and no competitor without it can match. AIDP is what turns that history from a cost into a product.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economics</w:t>
      </w:r>
      <w:r>
        <w:t xml:space="preserve">: it reuses the Analytics capacity funded by consolidation (Columnar budget plus a smaller Index tier), so the AI capability arrives without a new platform line item.</w:t>
      </w:r>
    </w:p>
    <w:p>
      <w:pPr/>
      <w:r>
        <w:drawing>
          <wp:inline distT="0" distB="0" distL="0" distR="0">
            <wp:extent cx="5486400" cy="4702628"/>
            <wp:docPr id="1" name="image1" descr="AI data plane · write path left, AI read path righ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 data plane · write path left, AI read path righ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AI data plane · write path left, AI read path right</w:t>
      </w:r>
    </w:p>
    <w:p>
      <w:pPr/>
      <w:r>
        <w:t xml:space="preserve">Devices write and sync only the hot tier; the assistant reaches both tiers through two read-only MCP servers and picks the engine by time range.</w:t>
      </w:r>
    </w:p>
    <w:p>
      <w:pPr>
        <w:pStyle w:val="Heading3"/>
      </w:pPr>
      <w:r>
        <w:t xml:space="preserve">How it works and how it is governed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Two read-only MCP servers, already built and demo-ready</w:t>
      </w:r>
      <w:r>
        <w:t xml:space="preserve">: one for operational queries (Query service), one for history (Analytics).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Built-in routing guardrail</w:t>
      </w:r>
      <w:r>
        <w:t xml:space="preserve">: questions older than 90 days go to Analytics automatically, so agents never return the wrong numbers we found on Query.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Demo story</w:t>
      </w:r>
      <w:r>
        <w:t xml:space="preserve">: "Which merchants are at churn risk?" Analytics answers correctly in seconds; Query alone would have hidden a 20% decline.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Why it matters for Quantic</w:t>
      </w:r>
      <w:r>
        <w:t xml:space="preserve">: merchant insights, support agents and reporting from the same cluster, with no new data pipeline.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Expansion path</w:t>
      </w:r>
      <w:r>
        <w:t xml:space="preserve">: AI use cases grow on capacity Quantic already owns.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Proven in an earlier run</w:t>
      </w:r>
      <w:r>
        <w:t xml:space="preserve">: asked why a flagship location had a flat week, the assistant traced it in six queries to one menu item out of stock for four days.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Two independent safeguards</w:t>
      </w:r>
      <w:r>
        <w:t xml:space="preserve">: a dedicated read-only database user, and the MCP server's read-only mode, which blocks writes and index or collection changes.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Path to production</w:t>
      </w:r>
      <w:r>
        <w:t xml:space="preserve">: one shared MCP server (Streamable HTTP with OAuth) so access is granted centrally and every query is logged; covering indexes, no primary indexes and query time-outs keep AI queries cheap.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Before merchants use it</w:t>
      </w:r>
      <w:r>
        <w:t xml:space="preserve">: Couchbase permissions stop at the collection, so per-merchant scoping needs a thin service that injects the merchant filter.</w:t>
      </w:r>
    </w:p>
    <w:p>
      <w:pPr>
        <w:pStyle w:val="Heading2"/>
      </w:pPr>
      <w:r>
        <w:t xml:space="preserve">Rollout</w:t>
      </w:r>
    </w:p>
    <w:p>
      <w:pPr/>
      <w:r>
        <w:t xml:space="preserve">The higher spend is limited to the migration months; steady state comes in at about today's burn.</w:t>
      </w:r>
    </w:p>
    <w:p>
      <w:pPr/>
      <w:r>
        <w:drawing>
          <wp:inline distT="0" distB="0" distL="0" distR="0">
            <wp:extent cx="5486400" cy="1632857"/>
            <wp:docPr id="2" name="image2" descr="rollout · 3 pha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llout · 3 phas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rollout · 3 phases</w:t>
      </w:r>
    </w:p>
    <w:p>
      <w:pPr/>
      <w:r>
        <w:rPr>
          <w:b/>
        </w:rPr>
        <w:t xml:space="preserve">What to watch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Transition months</w:t>
      </w:r>
      <w:r>
        <w:t xml:space="preserve">: new service groups run alongside the 4 large Index nodes until </w:t>
      </w:r>
      <w:r>
        <w:rPr>
          <w:rStyle w:val="CodeChar"/>
        </w:rPr>
        <w:t xml:space="preserve">_default</w:t>
      </w:r>
      <w:r>
        <w:t xml:space="preserve"> is dropped.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Analytics on day one</w:t>
      </w:r>
      <w:r>
        <w:t xml:space="preserve">: the full history lands at cutover, so nodes 1–2 need large disks until nodes 3–4 arrive.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Staging is required</w:t>
      </w:r>
      <w:r>
        <w:t xml:space="preserve">: today's dev cluster (1 Basic node) cannot run Eventing and Analytics.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Backup</w:t>
      </w:r>
      <w:r>
        <w:t xml:space="preserve"> (about 11% of spend) grows with the shadow store.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Sync layer</w:t>
      </w:r>
      <w:r>
        <w:t xml:space="preserve">: App Services / Sync Gateway must write to named collections; confirm Quantic's version early, since an upgrade would be phase one.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Load from in-region</w:t>
      </w:r>
      <w:r>
        <w:t xml:space="preserve">: a laptop loads about 1.5–3K docs/s, limited by upload bandwidth; the migration and any bulk load should run from a VM in the cluster's region.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Migration tooling exists</w:t>
      </w:r>
      <w:r>
        <w:t xml:space="preserve">: a </w:t>
      </w:r>
      <w:r>
        <w:rPr>
          <w:rStyle w:val="CodeChar"/>
        </w:rPr>
        <w:t xml:space="preserve">route_by_DocType</w:t>
      </w:r>
      <w:r>
        <w:t xml:space="preserve"> Eventing function already splits </w:t>
      </w:r>
      <w:r>
        <w:rPr>
          <w:rStyle w:val="CodeChar"/>
        </w:rPr>
        <w:t xml:space="preserve">_default</w:t>
      </w:r>
      <w:r>
        <w:t xml:space="preserve"> into collections by document type.</w:t>
      </w:r>
    </w:p>
    <w:p>
      <w:pPr>
        <w:pStyle w:val="Heading2"/>
      </w:pPr>
      <w:r>
        <w:t xml:space="preserve">Open questions for Quantic</w:t>
      </w:r>
    </w:p>
    <w:p>
      <w:pPr/>
      <w:r>
        <w:t xml:space="preserve">These firm up the sizing; none blocks the architecture.</w:t>
      </w:r>
    </w:p>
    <w:p>
      <w:pPr>
        <w:pStyle w:val="ListParagraph"/>
        <w:numPr>
          <w:ilvl w:val="0"/>
          <w:numId w:val="15"/>
        </w:numPr>
      </w:pPr>
      <w:r>
        <w:t xml:space="preserve">How many documents are created per day? This sets the hot-tier size.</w:t>
      </w:r>
    </w:p>
    <w:p>
      <w:pPr>
        <w:pStyle w:val="ListParagraph"/>
        <w:numPr>
          <w:ilvl w:val="0"/>
          <w:numId w:val="15"/>
        </w:numPr>
      </w:pPr>
      <w:r>
        <w:t xml:space="preserve">What do the 4 Index nodes serve today? Our view shows no GSI indexes on the main bucket.</w:t>
      </w:r>
    </w:p>
    <w:p>
      <w:pPr>
        <w:pStyle w:val="ListParagraph"/>
        <w:numPr>
          <w:ilvl w:val="0"/>
          <w:numId w:val="15"/>
        </w:numPr>
      </w:pPr>
      <w:r>
        <w:t xml:space="preserve">How long can devices stay offline? This sets the tombstone purge window.</w:t>
      </w:r>
    </w:p>
    <w:p>
      <w:pPr>
        <w:pStyle w:val="ListParagraph"/>
        <w:numPr>
          <w:ilvl w:val="0"/>
          <w:numId w:val="15"/>
        </w:numPr>
      </w:pPr>
      <w:r>
        <w:t xml:space="preserve">Which record types have no </w:t>
      </w:r>
      <w:r>
        <w:rPr>
          <w:rStyle w:val="CodeChar"/>
        </w:rPr>
        <w:t xml:space="preserve">isClosed</w:t>
      </w:r>
      <w:r>
        <w:t xml:space="preserve"> field, and what does their Eventing filter check today?</w:t>
      </w:r>
    </w:p>
    <w:p>
      <w:pPr>
        <w:pStyle w:val="ListParagraph"/>
        <w:numPr>
          <w:ilvl w:val="0"/>
          <w:numId w:val="15"/>
        </w:numPr>
      </w:pPr>
      <w:r>
        <w:t xml:space="preserve">Is the 8.0 upgrade on their roadmap? We validated on 8.0; production runs 7.6.9.</w:t>
      </w:r>
    </w:p>
    <w:p>
      <w:pPr>
        <w:pStyle w:val="ListParagraph"/>
        <w:numPr>
          <w:ilvl w:val="0"/>
          <w:numId w:val="16"/>
        </w:numPr>
      </w:pPr>
      <w:r>
        <w:t xml:space="preserve">What is the full list of document types, with counts? We have 14 sample types; the samples reference more (customer, gift card, tax class).</w:t>
      </w:r>
    </w:p>
    <w:p>
      <w:pPr>
        <w:pStyle w:val="ListParagraph"/>
        <w:numPr>
          <w:ilvl w:val="0"/>
          <w:numId w:val="16"/>
        </w:numPr>
      </w:pPr>
      <w:r>
        <w:t xml:space="preserve">What retention should each history collection keep? For example, signatures 6–12 months, change logs 24 months, sales and payments 36 months or longer.</w:t>
      </w:r>
    </w:p>
    <w:p>
      <w:pPr>
        <w:pStyle w:val="ListParagraph"/>
        <w:numPr>
          <w:ilvl w:val="0"/>
          <w:numId w:val="17"/>
        </w:numPr>
      </w:pPr>
      <w:r>
        <w:t xml:space="preserve">Which Sync Gateway / App Services version runs in production? (Couchbase Server is 7.6.9.)</w:t>
      </w:r>
    </w:p>
    <w:p>
      <w:pPr>
        <w:pStyle w:val="ListParagraph"/>
        <w:numPr>
          <w:ilvl w:val="0"/>
          <w:numId w:val="17"/>
        </w:numPr>
      </w:pPr>
      <w:r>
        <w:t xml:space="preserve">What do </w:t>
      </w:r>
      <w:r>
        <w:rPr>
          <w:rStyle w:val="CodeChar"/>
        </w:rPr>
        <w:t xml:space="preserve">serviceAreaType</w:t>
      </w:r>
      <w:r>
        <w:t xml:space="preserve"> 2 and 3 mean, and how are voids, refunds and third-party payments recorded?</w:t>
      </w:r>
    </w:p>
    <w:p>
      <w:pPr>
        <w:pStyle w:val="ListParagraph"/>
        <w:numPr>
          <w:ilvl w:val="0"/>
          <w:numId w:val="17"/>
        </w:numPr>
      </w:pPr>
      <w:r>
        <w:t xml:space="preserve">Do location, item and employee documents exist under those names? Our shapes for them are assumed.</w:t>
      </w:r>
    </w:p>
    <w:p>
      <w:pPr>
        <w:pStyle w:val="Heading2"/>
      </w:pPr>
      <w:r>
        <w:t xml:space="preserve">Appendix: the demo dataset</w:t>
      </w:r>
    </w:p>
    <w:p>
      <w:pPr/>
      <w:r>
        <w:t xml:space="preserve">A synthetic copy of Quantic's POS data model: 225 restaurant merchants, 506 locations and 28.2M orders over 3 years (Oct 18, 2023 to Oct 16, 2026), about 262M documents in 17 collections. Numbers illustrate the model, not Quantic's business.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Merchants</w:t>
      </w:r>
      <w:r>
        <w:t xml:space="preserve">: QSR 27%, casual 24%, café 16%, pizzeria 11%, Mexican 9%, bar 8%, Asian 4%, food truck 1%.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Locations</w:t>
      </w:r>
      <w:r>
        <w:t xml:space="preserve">: 506, of which 464 are still active; 81K employees; 6.5K menu items.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Growth</w:t>
      </w:r>
      <w:r>
        <w:t xml:space="preserve">: orders by year 4.5% (2023, partial) / 26.5% / 34.4% / 34.7% (2026 to date).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Mix</w:t>
      </w:r>
      <w:r>
        <w:t xml:space="preserve">: 68% iOS POS, 23% Android, 10% web; 82% card, 16% cash; online and delivery rising from 9% to 15.5%.</w:t>
      </w:r>
    </w:p>
    <w:p>
      <w:pPr>
        <w:pStyle w:val="Heading3"/>
      </w:pPr>
      <w:r>
        <w:t xml:space="preserve">Relationships</w:t>
      </w:r>
    </w:p>
    <w:p>
      <w:pPr/>
      <w:r>
        <w:drawing>
          <wp:inline distT="0" distB="0" distL="0" distR="0">
            <wp:extent cx="5486400" cy="4759778"/>
            <wp:docPr id="3" name="image3" descr="data model · 17 collections, counts at full loa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ata model · 17 collections, counts at full loa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model · 17 collections, counts at full load</w:t>
      </w:r>
    </w:p>
    <w:p>
      <w:pPr/>
      <w:r>
        <w:t xml:space="preserve">Arrows read "one to many". Cart lines also point to the menu item they sold (</w:t>
      </w:r>
      <w:r>
        <w:rPr>
          <w:rStyle w:val="CodeChar"/>
        </w:rPr>
        <w:t xml:space="preserve">itemID</w:t>
      </w:r>
      <w:r>
        <w:t xml:space="preserve">).</w:t>
      </w:r>
    </w:p>
    <w:p>
      <w:pPr>
        <w:pStyle w:val="Heading3"/>
      </w:pPr>
      <w:r>
        <w:t xml:space="preserve">Collections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2244"/>
        <w:gridCol w:w="1560"/>
        <w:gridCol w:w="1657"/>
        <w:gridCol w:w="995"/>
        <w:gridCol w:w="1344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2244" w:type="dxa"/>
            <w:shd w:val="clear" w:color="auto" w:fill="F2F2F2"/>
          </w:tcPr>
          <w:p>
            <w:pPr/>
            <w:r>
              <w:t xml:space="preserve">One document is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657" w:type="dxa"/>
            <w:shd w:val="clear" w:color="auto" w:fill="F2F2F2"/>
          </w:tcPr>
          <w:p>
            <w:pPr/>
            <w:r>
              <w:t xml:space="preserve">Links to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Docs (full load)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Tier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cart</w:t>
            </w:r>
          </w:p>
        </w:tc>
        <w:tc>
          <w:tcPr>
            <w:tcW w:w="2244" w:type="dxa"/>
          </w:tcPr>
          <w:p>
            <w:pPr/>
            <w:r>
              <w:t xml:space="preserve">One line item on a check</w:t>
            </w:r>
          </w:p>
        </w:tc>
        <w:tc>
          <w:tcPr>
            <w:tcW w:w="1560" w:type="dxa"/>
          </w:tcPr>
          <w:p>
            <w:pPr/>
            <w:r>
              <w:t xml:space="preserve">cartID</w:t>
            </w:r>
          </w:p>
        </w:tc>
        <w:tc>
          <w:tcPr>
            <w:tcW w:w="1657" w:type="dxa"/>
          </w:tcPr>
          <w:p>
            <w:pPr/>
            <w:r>
              <w:t xml:space="preserve">checkID, orderID, itemID, locationID</w:t>
            </w:r>
          </w:p>
        </w:tc>
        <w:tc>
          <w:tcPr>
            <w:tcW w:w="995" w:type="dxa"/>
          </w:tcPr>
          <w:p>
            <w:pPr/>
            <w:r>
              <w:t xml:space="preserve">111.8M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check</w:t>
            </w:r>
          </w:p>
        </w:tc>
        <w:tc>
          <w:tcPr>
            <w:tcW w:w="2244" w:type="dxa"/>
          </w:tcPr>
          <w:p>
            <w:pPr/>
            <w:r>
              <w:t xml:space="preserve">One guest check within an order</w:t>
            </w:r>
          </w:p>
        </w:tc>
        <w:tc>
          <w:tcPr>
            <w:tcW w:w="1560" w:type="dxa"/>
          </w:tcPr>
          <w:p>
            <w:pPr/>
            <w:r>
              <w:t xml:space="preserve">checkID</w:t>
            </w:r>
          </w:p>
        </w:tc>
        <w:tc>
          <w:tcPr>
            <w:tcW w:w="1657" w:type="dxa"/>
          </w:tcPr>
          <w:p>
            <w:pPr/>
            <w:r>
              <w:t xml:space="preserve">orderID, locationID</w:t>
            </w:r>
          </w:p>
        </w:tc>
        <w:tc>
          <w:tcPr>
            <w:tcW w:w="995" w:type="dxa"/>
          </w:tcPr>
          <w:p>
            <w:pPr/>
            <w:r>
              <w:t xml:space="preserve">29.3M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orderSummary</w:t>
            </w:r>
          </w:p>
        </w:tc>
        <w:tc>
          <w:tcPr>
            <w:tcW w:w="2244" w:type="dxa"/>
          </w:tcPr>
          <w:p>
            <w:pPr/>
            <w:r>
              <w:t xml:space="preserve">Receipt view of a paid check, line items embedded</w:t>
            </w:r>
          </w:p>
        </w:tc>
        <w:tc>
          <w:tcPr>
            <w:tcW w:w="1560" w:type="dxa"/>
          </w:tcPr>
          <w:p>
            <w:pPr/>
            <w:r>
              <w:t xml:space="preserve">orderSummaryID</w:t>
            </w:r>
          </w:p>
        </w:tc>
        <w:tc>
          <w:tcPr>
            <w:tcW w:w="1657" w:type="dxa"/>
          </w:tcPr>
          <w:p>
            <w:pPr/>
            <w:r>
              <w:t xml:space="preserve">checkID, orderID, paymentID</w:t>
            </w:r>
          </w:p>
        </w:tc>
        <w:tc>
          <w:tcPr>
            <w:tcW w:w="995" w:type="dxa"/>
          </w:tcPr>
          <w:p>
            <w:pPr/>
            <w:r>
              <w:t xml:space="preserve">29.2M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payment</w:t>
            </w:r>
          </w:p>
        </w:tc>
        <w:tc>
          <w:tcPr>
            <w:tcW w:w="2244" w:type="dxa"/>
          </w:tcPr>
          <w:p>
            <w:pPr/>
            <w:r>
              <w:t xml:space="preserve">Settlement of a check; tenders in </w:t>
            </w:r>
            <w:r>
              <w:rPr>
                <w:rStyle w:val="CodeChar"/>
              </w:rPr>
              <w:t xml:space="preserve">transactionList[]</w:t>
            </w:r>
          </w:p>
        </w:tc>
        <w:tc>
          <w:tcPr>
            <w:tcW w:w="1560" w:type="dxa"/>
          </w:tcPr>
          <w:p>
            <w:pPr/>
            <w:r>
              <w:t xml:space="preserve">paymentID</w:t>
            </w:r>
          </w:p>
        </w:tc>
        <w:tc>
          <w:tcPr>
            <w:tcW w:w="1657" w:type="dxa"/>
          </w:tcPr>
          <w:p>
            <w:pPr/>
            <w:r>
              <w:t xml:space="preserve">checkID, orderID</w:t>
            </w:r>
          </w:p>
        </w:tc>
        <w:tc>
          <w:tcPr>
            <w:tcW w:w="995" w:type="dxa"/>
          </w:tcPr>
          <w:p>
            <w:pPr/>
            <w:r>
              <w:t xml:space="preserve">29.1M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orders</w:t>
            </w:r>
          </w:p>
        </w:tc>
        <w:tc>
          <w:tcPr>
            <w:tcW w:w="2244" w:type="dxa"/>
          </w:tcPr>
          <w:p>
            <w:pPr/>
            <w:r>
              <w:t xml:space="preserve">Order header (ticket)</w:t>
            </w:r>
          </w:p>
        </w:tc>
        <w:tc>
          <w:tcPr>
            <w:tcW w:w="1560" w:type="dxa"/>
          </w:tcPr>
          <w:p>
            <w:pPr/>
            <w:r>
              <w:t xml:space="preserve">orderID</w:t>
            </w:r>
          </w:p>
        </w:tc>
        <w:tc>
          <w:tcPr>
            <w:tcW w:w="1657" w:type="dxa"/>
          </w:tcPr>
          <w:p>
            <w:pPr/>
            <w:r>
              <w:t xml:space="preserve">locationID, commChannel</w:t>
            </w:r>
          </w:p>
        </w:tc>
        <w:tc>
          <w:tcPr>
            <w:tcW w:w="995" w:type="dxa"/>
          </w:tcPr>
          <w:p>
            <w:pPr/>
            <w:r>
              <w:t xml:space="preserve">28.2M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transactionDetail</w:t>
            </w:r>
          </w:p>
        </w:tc>
        <w:tc>
          <w:tcPr>
            <w:tcW w:w="2244" w:type="dxa"/>
          </w:tcPr>
          <w:p>
            <w:pPr/>
            <w:r>
              <w:t xml:space="preserve">Card processor response</w:t>
            </w:r>
          </w:p>
        </w:tc>
        <w:tc>
          <w:tcPr>
            <w:tcW w:w="1560" w:type="dxa"/>
          </w:tcPr>
          <w:p>
            <w:pPr/>
            <w:r>
              <w:t xml:space="preserve">transactionID</w:t>
            </w:r>
          </w:p>
        </w:tc>
        <w:tc>
          <w:tcPr>
            <w:tcW w:w="1657" w:type="dxa"/>
          </w:tcPr>
          <w:p>
            <w:pPr/>
            <w:r>
              <w:t xml:space="preserve">orderID, checkID</w:t>
            </w:r>
          </w:p>
        </w:tc>
        <w:tc>
          <w:tcPr>
            <w:tcW w:w="995" w:type="dxa"/>
          </w:tcPr>
          <w:p>
            <w:pPr/>
            <w:r>
              <w:t xml:space="preserve">24.9M</w:t>
            </w:r>
          </w:p>
        </w:tc>
        <w:tc>
          <w:tcPr>
            <w:tcW w:w="1344" w:type="dxa"/>
          </w:tcPr>
          <w:p>
            <w:pPr/>
            <w:r>
              <w:t xml:space="preserve">Hot (TTL) + history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rewardHistory</w:t>
            </w:r>
          </w:p>
        </w:tc>
        <w:tc>
          <w:tcPr>
            <w:tcW w:w="2244" w:type="dxa"/>
          </w:tcPr>
          <w:p>
            <w:pPr/>
            <w:r>
              <w:t xml:space="preserve">Loyalty points earned on a check</w:t>
            </w:r>
          </w:p>
        </w:tc>
        <w:tc>
          <w:tcPr>
            <w:tcW w:w="1560" w:type="dxa"/>
          </w:tcPr>
          <w:p>
            <w:pPr/>
            <w:r>
              <w:t xml:space="preserve">rewardHistoryID</w:t>
            </w:r>
          </w:p>
        </w:tc>
        <w:tc>
          <w:tcPr>
            <w:tcW w:w="1657" w:type="dxa"/>
          </w:tcPr>
          <w:p>
            <w:pPr/>
            <w:r>
              <w:t xml:space="preserve">checkID, customerID</w:t>
            </w:r>
          </w:p>
        </w:tc>
        <w:tc>
          <w:tcPr>
            <w:tcW w:w="995" w:type="dxa"/>
          </w:tcPr>
          <w:p>
            <w:pPr/>
            <w:r>
              <w:t xml:space="preserve">3.5M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timeManagement</w:t>
            </w:r>
          </w:p>
        </w:tc>
        <w:tc>
          <w:tcPr>
            <w:tcW w:w="2244" w:type="dxa"/>
          </w:tcPr>
          <w:p>
            <w:pPr/>
            <w:r>
              <w:t xml:space="preserve">One employee shift</w:t>
            </w:r>
          </w:p>
        </w:tc>
        <w:tc>
          <w:tcPr>
            <w:tcW w:w="1560" w:type="dxa"/>
          </w:tcPr>
          <w:p>
            <w:pPr/>
            <w:r>
              <w:t xml:space="preserve">timeID</w:t>
            </w:r>
          </w:p>
        </w:tc>
        <w:tc>
          <w:tcPr>
            <w:tcW w:w="1657" w:type="dxa"/>
          </w:tcPr>
          <w:p>
            <w:pPr/>
            <w:r>
              <w:t xml:space="preserve">empID, locationID</w:t>
            </w:r>
          </w:p>
        </w:tc>
        <w:tc>
          <w:tcPr>
            <w:tcW w:w="995" w:type="dxa"/>
          </w:tcPr>
          <w:p>
            <w:pPr/>
            <w:r>
              <w:t xml:space="preserve">2.2M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signature</w:t>
            </w:r>
          </w:p>
        </w:tc>
        <w:tc>
          <w:tcPr>
            <w:tcW w:w="2244" w:type="dxa"/>
          </w:tcPr>
          <w:p>
            <w:pPr/>
            <w:r>
              <w:t xml:space="preserve">Card signature on a transaction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657" w:type="dxa"/>
          </w:tcPr>
          <w:p>
            <w:pPr/>
            <w:r>
              <w:t xml:space="preserve">checkID, transactionID</w:t>
            </w:r>
          </w:p>
        </w:tc>
        <w:tc>
          <w:tcPr>
            <w:tcW w:w="995" w:type="dxa"/>
          </w:tcPr>
          <w:p>
            <w:pPr/>
            <w:r>
              <w:t xml:space="preserve">1.9M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batchClose</w:t>
            </w:r>
          </w:p>
        </w:tc>
        <w:tc>
          <w:tcPr>
            <w:tcW w:w="2244" w:type="dxa"/>
          </w:tcPr>
          <w:p>
            <w:pPr/>
            <w:r>
              <w:t xml:space="preserve">End-of-day card batch</w:t>
            </w:r>
          </w:p>
        </w:tc>
        <w:tc>
          <w:tcPr>
            <w:tcW w:w="1560" w:type="dxa"/>
          </w:tcPr>
          <w:p>
            <w:pPr/>
            <w:r>
              <w:t xml:space="preserve">batchCloseID</w:t>
            </w:r>
          </w:p>
        </w:tc>
        <w:tc>
          <w:tcPr>
            <w:tcW w:w="1657" w:type="dxa"/>
          </w:tcPr>
          <w:p>
            <w:pPr/>
            <w:r>
              <w:t xml:space="preserve">locationID</w:t>
            </w:r>
          </w:p>
        </w:tc>
        <w:tc>
          <w:tcPr>
            <w:tcW w:w="995" w:type="dxa"/>
          </w:tcPr>
          <w:p>
            <w:pPr/>
            <w:r>
              <w:t xml:space="preserve">1.1M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stockHistory</w:t>
            </w:r>
          </w:p>
        </w:tc>
        <w:tc>
          <w:tcPr>
            <w:tcW w:w="2244" w:type="dxa"/>
          </w:tcPr>
          <w:p>
            <w:pPr/>
            <w:r>
              <w:t xml:space="preserve">Inventory receipt for an item</w:t>
            </w:r>
          </w:p>
        </w:tc>
        <w:tc>
          <w:tcPr>
            <w:tcW w:w="1560" w:type="dxa"/>
          </w:tcPr>
          <w:p>
            <w:pPr/>
            <w:r>
              <w:t xml:space="preserve">stockHistoryID</w:t>
            </w:r>
          </w:p>
        </w:tc>
        <w:tc>
          <w:tcPr>
            <w:tcW w:w="1657" w:type="dxa"/>
          </w:tcPr>
          <w:p>
            <w:pPr/>
            <w:r>
              <w:t xml:space="preserve">itemID, locationID</w:t>
            </w:r>
          </w:p>
        </w:tc>
        <w:tc>
          <w:tcPr>
            <w:tcW w:w="995" w:type="dxa"/>
          </w:tcPr>
          <w:p>
            <w:pPr/>
            <w:r>
              <w:t xml:space="preserve">170K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giftTransactionDetail</w:t>
            </w:r>
          </w:p>
        </w:tc>
        <w:tc>
          <w:tcPr>
            <w:tcW w:w="2244" w:type="dxa"/>
          </w:tcPr>
          <w:p>
            <w:pPr/>
            <w:r>
              <w:t xml:space="preserve">Gift card transaction</w:t>
            </w:r>
          </w:p>
        </w:tc>
        <w:tc>
          <w:tcPr>
            <w:tcW w:w="1560" w:type="dxa"/>
          </w:tcPr>
          <w:p>
            <w:pPr/>
            <w:r>
              <w:t xml:space="preserve">transactionID</w:t>
            </w:r>
          </w:p>
        </w:tc>
        <w:tc>
          <w:tcPr>
            <w:tcW w:w="1657" w:type="dxa"/>
          </w:tcPr>
          <w:p>
            <w:pPr/>
            <w:r>
              <w:t xml:space="preserve">giftCardID, orderID</w:t>
            </w:r>
          </w:p>
        </w:tc>
        <w:tc>
          <w:tcPr>
            <w:tcW w:w="995" w:type="dxa"/>
          </w:tcPr>
          <w:p>
            <w:pPr/>
            <w:r>
              <w:t xml:space="preserve">123K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employee</w:t>
            </w:r>
          </w:p>
        </w:tc>
        <w:tc>
          <w:tcPr>
            <w:tcW w:w="2244" w:type="dxa"/>
          </w:tcPr>
          <w:p>
            <w:pPr/>
            <w:r>
              <w:t xml:space="preserve">Staff member at a location</w:t>
            </w:r>
          </w:p>
        </w:tc>
        <w:tc>
          <w:tcPr>
            <w:tcW w:w="1560" w:type="dxa"/>
          </w:tcPr>
          <w:p>
            <w:pPr/>
            <w:r>
              <w:t xml:space="preserve">empID</w:t>
            </w:r>
          </w:p>
        </w:tc>
        <w:tc>
          <w:tcPr>
            <w:tcW w:w="1657" w:type="dxa"/>
          </w:tcPr>
          <w:p>
            <w:pPr/>
            <w:r>
              <w:t xml:space="preserve">locationID, roleID</w:t>
            </w:r>
          </w:p>
        </w:tc>
        <w:tc>
          <w:tcPr>
            <w:tcW w:w="995" w:type="dxa"/>
          </w:tcPr>
          <w:p>
            <w:pPr/>
            <w:r>
              <w:t xml:space="preserve">81K</w:t>
            </w:r>
          </w:p>
        </w:tc>
        <w:tc>
          <w:tcPr>
            <w:tcW w:w="1344" w:type="dxa"/>
          </w:tcPr>
          <w:p>
            <w:pPr/>
            <w:r>
              <w:t xml:space="preserve">Reference,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catalogLog</w:t>
            </w:r>
          </w:p>
        </w:tc>
        <w:tc>
          <w:tcPr>
            <w:tcW w:w="2244" w:type="dxa"/>
          </w:tcPr>
          <w:p>
            <w:pPr/>
            <w:r>
              <w:t xml:space="preserve">Menu change (price, 86'd, restock)</w:t>
            </w:r>
          </w:p>
        </w:tc>
        <w:tc>
          <w:tcPr>
            <w:tcW w:w="1560" w:type="dxa"/>
          </w:tcPr>
          <w:p>
            <w:pPr/>
            <w:r>
              <w:t xml:space="preserve">logID</w:t>
            </w:r>
          </w:p>
        </w:tc>
        <w:tc>
          <w:tcPr>
            <w:tcW w:w="1657" w:type="dxa"/>
          </w:tcPr>
          <w:p>
            <w:pPr/>
            <w:r>
              <w:t xml:space="preserve">masterItemID, locationID</w:t>
            </w:r>
          </w:p>
        </w:tc>
        <w:tc>
          <w:tcPr>
            <w:tcW w:w="995" w:type="dxa"/>
          </w:tcPr>
          <w:p>
            <w:pPr/>
            <w:r>
              <w:t xml:space="preserve">9K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item</w:t>
            </w:r>
          </w:p>
        </w:tc>
        <w:tc>
          <w:tcPr>
            <w:tcW w:w="2244" w:type="dxa"/>
          </w:tcPr>
          <w:p>
            <w:pPr/>
            <w:r>
              <w:t xml:space="preserve">Menu item at a location</w:t>
            </w:r>
          </w:p>
        </w:tc>
        <w:tc>
          <w:tcPr>
            <w:tcW w:w="1560" w:type="dxa"/>
          </w:tcPr>
          <w:p>
            <w:pPr/>
            <w:r>
              <w:t xml:space="preserve">itemID</w:t>
            </w:r>
          </w:p>
        </w:tc>
        <w:tc>
          <w:tcPr>
            <w:tcW w:w="1657" w:type="dxa"/>
          </w:tcPr>
          <w:p>
            <w:pPr/>
            <w:r>
              <w:t xml:space="preserve">catID, locationID</w:t>
            </w:r>
          </w:p>
        </w:tc>
        <w:tc>
          <w:tcPr>
            <w:tcW w:w="995" w:type="dxa"/>
          </w:tcPr>
          <w:p>
            <w:pPr/>
            <w:r>
              <w:t xml:space="preserve">6.5K</w:t>
            </w:r>
          </w:p>
        </w:tc>
        <w:tc>
          <w:tcPr>
            <w:tcW w:w="1344" w:type="dxa"/>
          </w:tcPr>
          <w:p>
            <w:pPr/>
            <w:r>
              <w:t xml:space="preserve">Reference,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location</w:t>
            </w:r>
          </w:p>
        </w:tc>
        <w:tc>
          <w:tcPr>
            <w:tcW w:w="2244" w:type="dxa"/>
          </w:tcPr>
          <w:p>
            <w:pPr/>
            <w:r>
              <w:t xml:space="preserve">Merchant parent row or a store</w:t>
            </w:r>
          </w:p>
        </w:tc>
        <w:tc>
          <w:tcPr>
            <w:tcW w:w="1560" w:type="dxa"/>
          </w:tcPr>
          <w:p>
            <w:pPr/>
            <w:r>
              <w:t xml:space="preserve">locationID</w:t>
            </w:r>
          </w:p>
        </w:tc>
        <w:tc>
          <w:tcPr>
            <w:tcW w:w="1657" w:type="dxa"/>
          </w:tcPr>
          <w:p>
            <w:pPr/>
            <w:r>
              <w:t xml:space="preserve">commChannel, parentLocationID</w:t>
            </w:r>
          </w:p>
        </w:tc>
        <w:tc>
          <w:tcPr>
            <w:tcW w:w="995" w:type="dxa"/>
          </w:tcPr>
          <w:p>
            <w:pPr/>
            <w:r>
              <w:t xml:space="preserve">506</w:t>
            </w:r>
          </w:p>
        </w:tc>
        <w:tc>
          <w:tcPr>
            <w:tcW w:w="1344" w:type="dxa"/>
          </w:tcPr>
          <w:p>
            <w:pPr/>
            <w:r>
              <w:t xml:space="preserve">Reference,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auditLog</w:t>
            </w:r>
          </w:p>
        </w:tc>
        <w:tc>
          <w:tcPr>
            <w:tcW w:w="2244" w:type="dxa"/>
          </w:tcPr>
          <w:p>
            <w:pPr/>
            <w:r>
              <w:t xml:space="preserve">Configuration change</w:t>
            </w:r>
          </w:p>
        </w:tc>
        <w:tc>
          <w:tcPr>
            <w:tcW w:w="1560" w:type="dxa"/>
          </w:tcPr>
          <w:p>
            <w:pPr/>
            <w:r>
              <w:t xml:space="preserve">auditLogID</w:t>
            </w:r>
          </w:p>
        </w:tc>
        <w:tc>
          <w:tcPr>
            <w:tcW w:w="1657" w:type="dxa"/>
          </w:tcPr>
          <w:p>
            <w:pPr/>
            <w:r>
              <w:t xml:space="preserve">locationID</w:t>
            </w:r>
          </w:p>
        </w:tc>
        <w:tc>
          <w:tcPr>
            <w:tcW w:w="995" w:type="dxa"/>
          </w:tcPr>
          <w:p>
            <w:pPr/>
            <w:r>
              <w:t xml:space="preserve">&lt;1K</w:t>
            </w:r>
          </w:p>
        </w:tc>
        <w:tc>
          <w:tcPr>
            <w:tcW w:w="1344" w:type="dxa"/>
          </w:tcPr>
          <w:p>
            <w:pPr/>
            <w:r>
              <w:t xml:space="preserve">Hot, no TTL</w:t>
            </w:r>
          </w:p>
        </w:tc>
      </w:tr>
    </w:tbl>
    <w:p>
      <w:pPr>
        <w:pStyle w:val="Heading3"/>
      </w:pPr>
      <w:r>
        <w:t xml:space="preserve">Which process fills what</w:t>
      </w:r>
    </w:p>
    <w:p>
      <w:pPr/>
      <w:r>
        <w:t xml:space="preserve">Only the six transaction collections expire; they reach Analytics through the history store, while collections that never expire are linked to Analytics directly.</w:t>
      </w:r>
    </w:p>
    <w:p>
      <w:pPr/>
      <w:r>
        <w:drawing>
          <wp:inline distT="0" distB="0" distL="0" distR="0">
            <wp:extent cx="5486400" cy="3894364"/>
            <wp:docPr id="4" name="image4" descr="data flow · which process fills each colle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ata flow · which process fills each collecti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flow · which process fills each collection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2"/>
        <w:gridCol w:w="1890"/>
        <w:gridCol w:w="1642"/>
        <w:gridCol w:w="1556"/>
        <w:gridCol w:w="1560"/>
      </w:tblGrid>
      <w:tr>
        <w:trPr>
          <w:tblHeader/>
        </w:trPr>
        <w:tc>
          <w:tcPr>
            <w:tcW w:w="2712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1890" w:type="dxa"/>
            <w:shd w:val="clear" w:color="auto" w:fill="F2F2F2"/>
          </w:tcPr>
          <w:p>
            <w:pPr/>
            <w:r>
              <w:t xml:space="preserve">Written by</w:t>
            </w:r>
          </w:p>
        </w:tc>
        <w:tc>
          <w:tcPr>
            <w:tcW w:w="1642" w:type="dxa"/>
            <w:shd w:val="clear" w:color="auto" w:fill="F2F2F2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pos</w:t>
            </w:r>
            <w:r>
              <w:t xml:space="preserve"> (hot)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pos_history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 Analytics</w:t>
            </w:r>
          </w:p>
        </w:tc>
      </w:tr>
      <w:tr>
        <w:tc>
          <w:tcPr>
            <w:tcW w:w="2712" w:type="dxa"/>
          </w:tcPr>
          <w:p>
            <w:pPr/>
            <w:r>
              <w:t xml:space="preserve">orders, check, cart, payment, orderSummary, transactionDetail</w:t>
            </w:r>
          </w:p>
        </w:tc>
        <w:tc>
          <w:tcPr>
            <w:tcW w:w="1890" w:type="dxa"/>
          </w:tcPr>
          <w:p>
            <w:pPr/>
            <w:r>
              <w:t xml:space="preserve">Devices via App Services</w:t>
            </w:r>
          </w:p>
        </w:tc>
        <w:tc>
          <w:tcPr>
            <w:tcW w:w="1642" w:type="dxa"/>
          </w:tcPr>
          <w:p>
            <w:pPr/>
            <w:r>
              <w:t xml:space="preserve">90-day TTL (collection maxTTL)</w:t>
            </w:r>
          </w:p>
        </w:tc>
        <w:tc>
          <w:tcPr>
            <w:tcW w:w="1556" w:type="dxa"/>
          </w:tcPr>
          <w:p>
            <w:pPr/>
            <w:r>
              <w:t xml:space="preserve">Closed records, copied by Eventing; older history by the migration</w:t>
            </w:r>
          </w:p>
        </w:tc>
        <w:tc>
          <w:tcPr>
            <w:tcW w:w="1560" w:type="dxa"/>
          </w:tcPr>
          <w:p>
            <w:pPr/>
            <w:r>
              <w:t xml:space="preserve">Yes, from </w:t>
            </w:r>
            <w:r>
              <w:rPr>
                <w:rStyle w:val="CodeChar"/>
              </w:rPr>
              <w:t xml:space="preserve">pos_history</w:t>
            </w:r>
          </w:p>
        </w:tc>
      </w:tr>
      <w:tr>
        <w:tc>
          <w:tcPr>
            <w:tcW w:w="2712" w:type="dxa"/>
          </w:tcPr>
          <w:p>
            <w:pPr/>
            <w:r>
              <w:t xml:space="preserve">location, item, employee</w:t>
            </w:r>
          </w:p>
        </w:tc>
        <w:tc>
          <w:tcPr>
            <w:tcW w:w="1890" w:type="dxa"/>
          </w:tcPr>
          <w:p>
            <w:pPr/>
            <w:r>
              <w:t xml:space="preserve">Devices and the merchant portal</w:t>
            </w:r>
          </w:p>
        </w:tc>
        <w:tc>
          <w:tcPr>
            <w:tcW w:w="1642" w:type="dxa"/>
          </w:tcPr>
          <w:p>
            <w:pPr/>
            <w:r>
              <w:t xml:space="preserve">No TTL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Yes, direct link</w:t>
            </w:r>
          </w:p>
        </w:tc>
      </w:tr>
      <w:tr>
        <w:tc>
          <w:tcPr>
            <w:tcW w:w="2712" w:type="dxa"/>
          </w:tcPr>
          <w:p>
            <w:pPr/>
            <w:r>
              <w:t xml:space="preserve">timeManagement, catalogLog, stockHistory, rewardHistory</w:t>
            </w:r>
          </w:p>
        </w:tc>
        <w:tc>
          <w:tcPr>
            <w:tcW w:w="1890" w:type="dxa"/>
          </w:tcPr>
          <w:p>
            <w:pPr/>
            <w:r>
              <w:t xml:space="preserve">Devices and the merchant portal</w:t>
            </w:r>
          </w:p>
        </w:tc>
        <w:tc>
          <w:tcPr>
            <w:tcW w:w="1642" w:type="dxa"/>
          </w:tcPr>
          <w:p>
            <w:pPr/>
            <w:r>
              <w:t xml:space="preserve">No TTL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Yes, direct link</w:t>
            </w:r>
          </w:p>
        </w:tc>
      </w:tr>
      <w:tr>
        <w:tc>
          <w:tcPr>
            <w:tcW w:w="2712" w:type="dxa"/>
          </w:tcPr>
          <w:p>
            <w:pPr/>
            <w:r>
              <w:t xml:space="preserve">batchClose, giftTransactionDetail, auditLog</w:t>
            </w:r>
          </w:p>
        </w:tc>
        <w:tc>
          <w:tcPr>
            <w:tcW w:w="1890" w:type="dxa"/>
          </w:tcPr>
          <w:p>
            <w:pPr/>
            <w:r>
              <w:t xml:space="preserve">Devices and the merchant portal</w:t>
            </w:r>
          </w:p>
        </w:tc>
        <w:tc>
          <w:tcPr>
            <w:tcW w:w="1642" w:type="dxa"/>
          </w:tcPr>
          <w:p>
            <w:pPr/>
            <w:r>
              <w:t xml:space="preserve">No TTL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No (Query only)</w:t>
            </w:r>
          </w:p>
        </w:tc>
      </w:tr>
      <w:tr>
        <w:tc>
          <w:tcPr>
            <w:tcW w:w="2712" w:type="dxa"/>
          </w:tcPr>
          <w:p>
            <w:pPr/>
            <w:r>
              <w:t xml:space="preserve">signature</w:t>
            </w:r>
          </w:p>
        </w:tc>
        <w:tc>
          <w:tcPr>
            <w:tcW w:w="1890" w:type="dxa"/>
          </w:tcPr>
          <w:p>
            <w:pPr/>
            <w:r>
              <w:t xml:space="preserve">Devices</w:t>
            </w:r>
          </w:p>
        </w:tc>
        <w:tc>
          <w:tcPr>
            <w:tcW w:w="1642" w:type="dxa"/>
          </w:tcPr>
          <w:p>
            <w:pPr/>
            <w:r>
              <w:t xml:space="preserve">No TTL (retention to agree, 6–12 months proposed)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No (images, no analytic value)</w:t>
            </w:r>
          </w:p>
        </w:tc>
      </w:tr>
    </w:tbl>
    <w:p>
      <w:pPr/>
      <w:r>
        <w:t xml:space="preserve">Rule: a collection with no TTL can be linked to Analytics directly; one with a TTL must be copied to the history store first, or Analytics would mirror its expirations.</w:t>
      </w:r>
    </w:p>
    <w:p>
      <w:pPr>
        <w:pStyle w:val="Heading3"/>
      </w:pPr>
      <w:r>
        <w:t xml:space="preserve">Conventions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Merchant</w:t>
      </w:r>
      <w:r>
        <w:t xml:space="preserve"> = </w:t>
      </w:r>
      <w:r>
        <w:rPr>
          <w:rStyle w:val="CodeChar"/>
        </w:rPr>
        <w:t xml:space="preserve">commChannel</w:t>
      </w:r>
      <w:r>
        <w:t xml:space="preserve">; its name is on the parent location row (</w:t>
      </w:r>
      <w:r>
        <w:rPr>
          <w:rStyle w:val="CodeChar"/>
        </w:rPr>
        <w:t xml:space="preserve">parentLocationID = ""</w:t>
      </w:r>
      <w:r>
        <w:t xml:space="preserve">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Keys</w:t>
      </w:r>
      <w:r>
        <w:t xml:space="preserve"> are </w:t>
      </w:r>
      <w:r>
        <w:rPr>
          <w:rStyle w:val="CodeChar"/>
        </w:rPr>
        <w:t xml:space="preserve">docType:UUID</w:t>
      </w:r>
      <w:r>
        <w:t xml:space="preserve">; the same key is used in </w:t>
      </w:r>
      <w:r>
        <w:rPr>
          <w:rStyle w:val="CodeChar"/>
        </w:rPr>
        <w:t xml:space="preserve">pos</w:t>
      </w:r>
      <w:r>
        <w:t xml:space="preserve"> and </w:t>
      </w:r>
      <w:r>
        <w:rPr>
          <w:rStyle w:val="CodeChar"/>
        </w:rPr>
        <w:t xml:space="preserve">pos_history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Sales</w:t>
      </w:r>
      <w:r>
        <w:t xml:space="preserve"> = paid cart lines, </w:t>
      </w:r>
      <w:r>
        <w:rPr>
          <w:rStyle w:val="CodeChar"/>
        </w:rPr>
        <w:t xml:space="preserve">subTotal - totalDiscount</w:t>
      </w:r>
      <w:r>
        <w:t xml:space="preserve">. </w:t>
      </w:r>
      <w:r>
        <w:rPr>
          <w:b/>
        </w:rPr>
        <w:t xml:space="preserve">Channel</w:t>
      </w:r>
      <w:r>
        <w:t xml:space="preserve"> = </w:t>
      </w:r>
      <w:r>
        <w:rPr>
          <w:rStyle w:val="CodeChar"/>
        </w:rPr>
        <w:t xml:space="preserve">serviceAreaType</w:t>
      </w:r>
      <w:r>
        <w:t xml:space="preserve"> (1 dine-in, 2 takeout, 3 delivery, 4 online).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Tenders</w:t>
      </w:r>
      <w:r>
        <w:t xml:space="preserve"> in </w:t>
      </w:r>
      <w:r>
        <w:rPr>
          <w:rStyle w:val="CodeChar"/>
        </w:rPr>
        <w:t xml:space="preserve">payment.transactionList[]</w:t>
      </w:r>
      <w:r>
        <w:t xml:space="preserve">: </w:t>
      </w:r>
      <w:r>
        <w:rPr>
          <w:rStyle w:val="CodeChar"/>
        </w:rPr>
        <w:t xml:space="preserve">paymentType</w:t>
      </w:r>
      <w:r>
        <w:t xml:space="preserve">, </w:t>
      </w:r>
      <w:r>
        <w:rPr>
          <w:rStyle w:val="CodeChar"/>
        </w:rPr>
        <w:t xml:space="preserve">transactionType</w:t>
      </w:r>
      <w:r>
        <w:t xml:space="preserve">, </w:t>
      </w:r>
      <w:r>
        <w:rPr>
          <w:rStyle w:val="CodeChar"/>
        </w:rPr>
        <w:t xml:space="preserve">gateWay</w:t>
      </w:r>
      <w:r>
        <w:t xml:space="preserve"> (cardConnect ~85% of merchants, dejavoo ~15%).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Cost</w:t>
      </w:r>
      <w:r>
        <w:t xml:space="preserve">: </w:t>
      </w:r>
      <w:r>
        <w:rPr>
          <w:rStyle w:val="CodeChar"/>
        </w:rPr>
        <w:t xml:space="preserve">cart.cog</w:t>
      </w:r>
      <w:r>
        <w:t xml:space="preserve"> is a static unit cost (theoretical food cost). </w:t>
      </w:r>
      <w:r>
        <w:rPr>
          <w:b/>
        </w:rPr>
        <w:t xml:space="preserve">Times</w:t>
      </w:r>
      <w:r>
        <w:t xml:space="preserve"> are epoch ms, UTC.</w:t>
      </w:r>
    </w:p>
    <w:p>
      <w:pPr>
        <w:pStyle w:val="Heading3"/>
      </w:pPr>
      <w:r>
        <w:t xml:space="preserve">Planted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2"/>
        <w:gridCol w:w="1787"/>
        <w:gridCol w:w="1569"/>
        <w:gridCol w:w="3782"/>
      </w:tblGrid>
      <w:tr>
        <w:trPr>
          <w:tblHeader/>
        </w:trPr>
        <w:tc>
          <w:tcPr>
            <w:tcW w:w="2222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787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1569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782" w:type="dxa"/>
            <w:shd w:val="clear" w:color="auto" w:fill="F2F2F2"/>
          </w:tcPr>
          <w:p>
            <w:pPr/>
            <w:r>
              <w:t xml:space="preserve">What the data shows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Void hotspot</w:t>
            </w:r>
          </w:p>
        </w:tc>
        <w:tc>
          <w:tcPr>
            <w:tcW w:w="1787" w:type="dxa"/>
          </w:tcPr>
          <w:p>
            <w:pPr/>
            <w:r>
              <w:t xml:space="preserve">Ember &amp; Oak, King of Prussia</w:t>
            </w:r>
          </w:p>
        </w:tc>
        <w:tc>
          <w:tcPr>
            <w:tcW w:w="1569" w:type="dxa"/>
          </w:tcPr>
          <w:p>
            <w:pPr/>
            <w:r>
              <w:t xml:space="preserve">Server hired ~Aug 3, 2026</w:t>
            </w:r>
          </w:p>
        </w:tc>
        <w:tc>
          <w:tcPr>
            <w:tcW w:w="3782" w:type="dxa"/>
          </w:tcPr>
          <w:p>
            <w:pPr/>
            <w:r>
              <w:t xml:space="preserve">~12% of his lines voided vs ~2% for others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Salmon outage</w:t>
            </w:r>
          </w:p>
        </w:tc>
        <w:tc>
          <w:tcPr>
            <w:tcW w:w="1787" w:type="dxa"/>
          </w:tcPr>
          <w:p>
            <w:pPr/>
            <w:r>
              <w:t xml:space="preserve">Ember &amp; Oak, Fishtown</w:t>
            </w:r>
          </w:p>
        </w:tc>
        <w:tc>
          <w:tcPr>
            <w:tcW w:w="1569" w:type="dxa"/>
          </w:tcPr>
          <w:p>
            <w:pPr/>
            <w:r>
              <w:t xml:space="preserve">~Oct 7–10, 2026</w:t>
            </w:r>
          </w:p>
        </w:tc>
        <w:tc>
          <w:tcPr>
            <w:tcW w:w="3782" w:type="dxa"/>
          </w:tcPr>
          <w:p>
            <w:pPr/>
            <w:r>
              <w:t xml:space="preserve">Sales stop; menu log shows it 86'd, then restocked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New item launch</w:t>
            </w:r>
          </w:p>
        </w:tc>
        <w:tc>
          <w:tcPr>
            <w:tcW w:w="1787" w:type="dxa"/>
          </w:tcPr>
          <w:p>
            <w:pPr/>
            <w:r>
              <w:t xml:space="preserve">Ember &amp; Oak</w:t>
            </w:r>
          </w:p>
        </w:tc>
        <w:tc>
          <w:tcPr>
            <w:tcW w:w="1569" w:type="dxa"/>
          </w:tcPr>
          <w:p>
            <w:pPr/>
            <w:r>
              <w:t xml:space="preserve">~Sep 19, 2026</w:t>
            </w:r>
          </w:p>
        </w:tc>
        <w:tc>
          <w:tcPr>
            <w:tcW w:w="3782" w:type="dxa"/>
          </w:tcPr>
          <w:p>
            <w:pPr/>
            <w:r>
              <w:t xml:space="preserve">Nashville Hot Chicken Sandwich ramps ~4×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Seasonal LTO</w:t>
            </w:r>
          </w:p>
        </w:tc>
        <w:tc>
          <w:tcPr>
            <w:tcW w:w="1787" w:type="dxa"/>
          </w:tcPr>
          <w:p>
            <w:pPr/>
            <w:r>
              <w:t xml:space="preserve">Ember &amp; Oak</w:t>
            </w:r>
          </w:p>
        </w:tc>
        <w:tc>
          <w:tcPr>
            <w:tcW w:w="1569" w:type="dxa"/>
          </w:tcPr>
          <w:p>
            <w:pPr/>
            <w:r>
              <w:t xml:space="preserve">Sep 15 – Nov 30 yearly</w:t>
            </w:r>
          </w:p>
        </w:tc>
        <w:tc>
          <w:tcPr>
            <w:tcW w:w="3782" w:type="dxa"/>
          </w:tcPr>
          <w:p>
            <w:pPr/>
            <w:r>
              <w:t xml:space="preserve">Pumpkin Cheesecake, 3 seasons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Declining item</w:t>
            </w:r>
          </w:p>
        </w:tc>
        <w:tc>
          <w:tcPr>
            <w:tcW w:w="1787" w:type="dxa"/>
          </w:tcPr>
          <w:p>
            <w:pPr/>
            <w:r>
              <w:t xml:space="preserve">Ember &amp; Oak</w:t>
            </w:r>
          </w:p>
        </w:tc>
        <w:tc>
          <w:tcPr>
            <w:tcW w:w="1569" w:type="dxa"/>
          </w:tcPr>
          <w:p>
            <w:pPr/>
            <w:r>
              <w:t xml:space="preserve">3 years</w:t>
            </w:r>
          </w:p>
        </w:tc>
        <w:tc>
          <w:tcPr>
            <w:tcW w:w="3782" w:type="dxa"/>
          </w:tcPr>
          <w:p>
            <w:pPr/>
            <w:r>
              <w:t xml:space="preserve">Quinoa Power Bowl falls from 1.8× to 0.35×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Delivery surge</w:t>
            </w:r>
          </w:p>
        </w:tc>
        <w:tc>
          <w:tcPr>
            <w:tcW w:w="1787" w:type="dxa"/>
          </w:tcPr>
          <w:p>
            <w:pPr/>
            <w:r>
              <w:t xml:space="preserve">Ember &amp; Oak, Pittsburgh</w:t>
            </w:r>
          </w:p>
        </w:tc>
        <w:tc>
          <w:tcPr>
            <w:tcW w:w="1569" w:type="dxa"/>
          </w:tcPr>
          <w:p>
            <w:pPr/>
            <w:r>
              <w:t xml:space="preserve">Last ~6 months</w:t>
            </w:r>
          </w:p>
        </w:tc>
        <w:tc>
          <w:tcPr>
            <w:tcW w:w="3782" w:type="dxa"/>
          </w:tcPr>
          <w:p>
            <w:pPr/>
            <w:r>
              <w:t xml:space="preserve">Delivery ramps to ~3.2×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New store</w:t>
            </w:r>
          </w:p>
        </w:tc>
        <w:tc>
          <w:tcPr>
            <w:tcW w:w="1787" w:type="dxa"/>
          </w:tcPr>
          <w:p>
            <w:pPr/>
            <w:r>
              <w:t xml:space="preserve">Ember &amp; Oak, Brooklyn</w:t>
            </w:r>
          </w:p>
        </w:tc>
        <w:tc>
          <w:tcPr>
            <w:tcW w:w="1569" w:type="dxa"/>
          </w:tcPr>
          <w:p>
            <w:pPr/>
            <w:r>
              <w:t xml:space="preserve">Opened ~May 20, 2026</w:t>
            </w:r>
          </w:p>
        </w:tc>
        <w:tc>
          <w:tcPr>
            <w:tcW w:w="3782" w:type="dxa"/>
          </w:tcPr>
          <w:p>
            <w:pPr/>
            <w:r>
              <w:t xml:space="preserve">Store ramping from zero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Churned merchants</w:t>
            </w:r>
          </w:p>
        </w:tc>
        <w:tc>
          <w:tcPr>
            <w:tcW w:w="1787" w:type="dxa"/>
          </w:tcPr>
          <w:p>
            <w:pPr/>
            <w:r>
              <w:t xml:space="preserve">~10% of others</w:t>
            </w:r>
          </w:p>
        </w:tc>
        <w:tc>
          <w:tcPr>
            <w:tcW w:w="1569" w:type="dxa"/>
          </w:tcPr>
          <w:p>
            <w:pPr/>
            <w:r>
              <w:t xml:space="preserve">Random dates</w:t>
            </w:r>
          </w:p>
        </w:tc>
        <w:tc>
          <w:tcPr>
            <w:tcW w:w="3782" w:type="dxa"/>
          </w:tcPr>
          <w:p>
            <w:pPr/>
            <w:r>
              <w:t xml:space="preserve">Orders stop; location inactive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Holiday spikes</w:t>
            </w:r>
          </w:p>
        </w:tc>
        <w:tc>
          <w:tcPr>
            <w:tcW w:w="1787" w:type="dxa"/>
          </w:tcPr>
          <w:p>
            <w:pPr/>
            <w:r>
              <w:t xml:space="preserve">All, by concept</w:t>
            </w:r>
          </w:p>
        </w:tc>
        <w:tc>
          <w:tcPr>
            <w:tcW w:w="1569" w:type="dxa"/>
          </w:tcPr>
          <w:p>
            <w:pPr/>
            <w:r>
              <w:t xml:space="preserve">Every year</w:t>
            </w:r>
          </w:p>
        </w:tc>
        <w:tc>
          <w:tcPr>
            <w:tcW w:w="3782" w:type="dxa"/>
          </w:tcPr>
          <w:p>
            <w:pPr/>
            <w:r>
              <w:t xml:space="preserve">Super Bowl wings 2.5×, Cinco margaritas 2.2×, Valentine's desserts ~1.7×; Christmas closed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Quantic Proposed Architecture for Sales</dc:title>
  <dc:description>Claude Docs node/a0da485a-f38c@15 docx-w7</dc:description>
  <cp:revision>15</cp:revision>
</cp:coreProperties>
</file>