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2937"/>
          <w:sz w:val="36"/>
          <w:szCs w:val="36"/>
        </w:rPr>
        <w:t xml:space="preserve">Quantic: Analytics Scaling Benchmark</w:t>
      </w:r>
    </w:p>
    <w:p>
      <w:pPr>
        <w:pBdr>
          <w:bottom w:val="single" w:color="EA2328" w:sz="12" w:space="4"/>
        </w:pBdr>
        <w:spacing w:after="2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Demo cluster test · October 19, 2026 · Mel Boulos, Couchbase · synthetic data modeled on Quantic POS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Bottom 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Adding Analytics nodes scales linearly or slightly better. </w:t>
      </w:r>
      <w:r>
        <w:rPr>
          <w:rFonts w:ascii="Calibri" w:cs="Calibri" w:eastAsia="Calibri" w:hAnsi="Calibri"/>
          <w:sz w:val="21"/>
          <w:szCs w:val="21"/>
        </w:rPr>
        <w:t xml:space="preserve">One more node (3 → 4, +33%) made every test 44–46% faster, with 1, 2 or 3 queries running at once.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Indexes and rollups come first. </w:t>
      </w:r>
      <w:r>
        <w:rPr>
          <w:rFonts w:ascii="Calibri" w:cs="Calibri" w:eastAsia="Calibri" w:hAnsi="Calibri"/>
          <w:sz w:val="21"/>
          <w:szCs w:val="21"/>
        </w:rPr>
        <w:t xml:space="preserve">A selective, indexed question over 3 years answered in 2.4 s; full scans took 10–45 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Sizing: </w:t>
      </w:r>
      <w:r>
        <w:rPr>
          <w:rFonts w:ascii="Calibri" w:cs="Calibri" w:eastAsia="Calibri" w:hAnsi="Calibri"/>
          <w:sz w:val="21"/>
          <w:szCs w:val="21"/>
        </w:rPr>
        <w:t xml:space="preserve">start Quantic at 4 Analytics nodes and add nodes as reporting users and history grow. Cost and gain are both linear.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Test setup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7380"/>
      </w:tblGrid>
      <w:tr>
        <w:trPr>
          <w:tblHeader/>
        </w:trPr>
        <w:tc>
          <w:tcPr>
            <w:tcW w:type="dxa" w:w="2700"/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380"/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Cluster</w:t>
            </w:r>
          </w:p>
        </w:tc>
        <w:tc>
          <w:tcPr>
            <w:tcW w:type="dxa" w:w="73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Couchbase Capella, 10 nodes: Data 3 × 8 vCPU/32 GB, Index+Query+Search 2 × 8/64, Analytics 3 → 4 × 8/32 (600 GB GP3, 11,220 IOPS), Eventing 2 × 8/16</w:t>
            </w:r>
          </w:p>
        </w:tc>
      </w:tr>
      <w:tr>
        <w:trPr>
          <w:tblHeader w:val="false"/>
        </w:trPr>
        <w:tc>
          <w:tcPr>
            <w:tcW w:type="dxa" w:w="2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Data</w:t>
            </w:r>
          </w:p>
        </w:tc>
        <w:tc>
          <w:tcPr>
            <w:tcW w:type="dxa" w:w="738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252.7M documents in the full-history store (3 years, 225 merchants), copied by Eventing from a 90-day TTL hot tier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Benchmark query</w:t>
            </w:r>
          </w:p>
        </w:tc>
        <w:tc>
          <w:tcPr>
            <w:tcW w:type="dxa" w:w="73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Full scan of 112M cart lines (units and sales per year), run 1, 2 and 3 at a time from a script</w:t>
            </w:r>
          </w:p>
        </w:tc>
      </w:tr>
      <w:tr>
        <w:trPr>
          <w:tblHeader w:val="false"/>
        </w:trPr>
        <w:tc>
          <w:tcPr>
            <w:tcW w:type="dxa" w:w="2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Conditions</w:t>
            </w:r>
          </w:p>
        </w:tc>
        <w:tc>
          <w:tcPr>
            <w:tcW w:type="dxa" w:w="738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Quiet cluster, nothing else running; results verified intact after rebalance (orders 28,197,383)</w:t>
            </w:r>
          </w:p>
        </w:tc>
      </w:tr>
    </w:tbl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Results: node scaling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70"/>
        <w:gridCol w:w="2070"/>
        <w:gridCol w:w="2070"/>
        <w:gridCol w:w="2070"/>
      </w:tblGrid>
      <w:tr>
        <w:trPr>
          <w:tblHeader/>
        </w:trPr>
        <w:tc>
          <w:tcPr>
            <w:tcW w:type="dxa" w:w="1800"/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Concurrent scans</w:t>
            </w:r>
          </w:p>
        </w:tc>
        <w:tc>
          <w:tcPr>
            <w:tcW w:type="dxa" w:w="2070"/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3 nodes</w:t>
            </w:r>
          </w:p>
        </w:tc>
        <w:tc>
          <w:tcPr>
            <w:tcW w:type="dxa" w:w="2070"/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4 nodes</w:t>
            </w:r>
          </w:p>
        </w:tc>
        <w:tc>
          <w:tcPr>
            <w:tcW w:type="dxa" w:w="2070"/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Speed-up</w:t>
            </w:r>
          </w:p>
        </w:tc>
        <w:tc>
          <w:tcPr>
            <w:tcW w:type="dxa" w:w="2070"/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Linear target</w:t>
            </w:r>
          </w:p>
        </w:tc>
      </w:tr>
      <w:tr>
        <w:trPr>
          <w:tblHeader w:val="false"/>
        </w:trPr>
        <w:tc>
          <w:tcPr>
            <w:tcW w:type="dxa" w:w="1800"/>
            <w:shd w:fill="FD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070"/>
            <w:shd w:fill="FD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44.0 s</w:t>
            </w:r>
          </w:p>
        </w:tc>
        <w:tc>
          <w:tcPr>
            <w:tcW w:type="dxa" w:w="2070"/>
            <w:shd w:fill="FD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30.6 s</w:t>
            </w:r>
          </w:p>
        </w:tc>
        <w:tc>
          <w:tcPr>
            <w:tcW w:type="dxa" w:w="2070"/>
            <w:shd w:fill="FD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1.44×</w:t>
            </w:r>
          </w:p>
        </w:tc>
        <w:tc>
          <w:tcPr>
            <w:tcW w:type="dxa" w:w="2070"/>
            <w:shd w:fill="FD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33 s</w:t>
            </w:r>
          </w:p>
        </w:tc>
      </w:tr>
      <w:tr>
        <w:trPr>
          <w:tblHeader w:val="false"/>
        </w:trPr>
        <w:tc>
          <w:tcPr>
            <w:tcW w:type="dxa" w:w="1800"/>
            <w:shd w:fill="FD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070"/>
            <w:shd w:fill="FD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59.5 s</w:t>
            </w:r>
          </w:p>
        </w:tc>
        <w:tc>
          <w:tcPr>
            <w:tcW w:type="dxa" w:w="2070"/>
            <w:shd w:fill="FD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40.7 s</w:t>
            </w:r>
          </w:p>
        </w:tc>
        <w:tc>
          <w:tcPr>
            <w:tcW w:type="dxa" w:w="2070"/>
            <w:shd w:fill="FD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1.46×</w:t>
            </w:r>
          </w:p>
        </w:tc>
        <w:tc>
          <w:tcPr>
            <w:tcW w:type="dxa" w:w="2070"/>
            <w:shd w:fill="FD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45 s</w:t>
            </w:r>
          </w:p>
        </w:tc>
      </w:tr>
      <w:tr>
        <w:trPr>
          <w:tblHeader w:val="false"/>
        </w:trPr>
        <w:tc>
          <w:tcPr>
            <w:tcW w:type="dxa" w:w="1800"/>
            <w:shd w:fill="FD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070"/>
            <w:shd w:fill="FD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75.3 s</w:t>
            </w:r>
          </w:p>
        </w:tc>
        <w:tc>
          <w:tcPr>
            <w:tcW w:type="dxa" w:w="2070"/>
            <w:shd w:fill="FD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52.4 s</w:t>
            </w:r>
          </w:p>
        </w:tc>
        <w:tc>
          <w:tcPr>
            <w:tcW w:type="dxa" w:w="2070"/>
            <w:shd w:fill="FD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1.44×</w:t>
            </w:r>
          </w:p>
        </w:tc>
        <w:tc>
          <w:tcPr>
            <w:tcW w:type="dxa" w:w="2070"/>
            <w:shd w:fill="FD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56 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/>
        <w:rPr>
          <w:color w:val="444444"/>
          <w:sz w:val="19"/>
          <w:szCs w:val="19"/>
        </w:rPr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Single-query time on 3 nodes was repeatable: 44.1 / 43.8 / 43.9 s, including after 15 minutes idle. Throughput rises with concurrency at both sizes: about 1.5× at 2 concurrent scans and 1.75× at 3.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Results: individual queries (3 nodes)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440"/>
        <w:gridCol w:w="2440"/>
      </w:tblGrid>
      <w:tr>
        <w:trPr>
          <w:tblHeader/>
        </w:trPr>
        <w:tc>
          <w:tcPr>
            <w:tcW w:type="dxa" w:w="5200"/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2440"/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2440"/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Scan</w:t>
            </w:r>
          </w:p>
        </w:tc>
      </w:tr>
      <w:tr>
        <w:trPr>
          <w:tblHeader w:val="false"/>
        </w:trP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Pumpkin Cheesecake, same 32 days, 3 seasons (indexed)</w:t>
            </w:r>
          </w:p>
        </w:tc>
        <w:tc>
          <w:tcPr>
            <w:tcW w:type="dxa" w:w="2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2.4 s</w:t>
            </w:r>
          </w:p>
        </w:tc>
        <w:tc>
          <w:tcPr>
            <w:tcW w:type="dxa" w:w="2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Index on item name</w:t>
            </w:r>
          </w:p>
        </w:tc>
      </w:tr>
      <w:tr>
        <w:trPr>
          <w:tblHeader w:val="false"/>
        </w:trPr>
        <w:tc>
          <w:tcPr>
            <w:tcW w:type="dxa" w:w="5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Online + delivery share of orders by month (28M orders)</w:t>
            </w:r>
          </w:p>
        </w:tc>
        <w:tc>
          <w:tcPr>
            <w:tcW w:type="dxa" w:w="244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10.1 s</w:t>
            </w:r>
          </w:p>
        </w:tc>
        <w:tc>
          <w:tcPr>
            <w:tcW w:type="dxa" w:w="244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Full scan, ~2.8M docs/s</w:t>
            </w:r>
          </w:p>
        </w:tc>
      </w:tr>
      <w:tr>
        <w:trPr>
          <w:tblHeader w:val="false"/>
        </w:trP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Card volume by processor by year (29M payments)</w:t>
            </w:r>
          </w:p>
        </w:tc>
        <w:tc>
          <w:tcPr>
            <w:tcW w:type="dxa" w:w="2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17.2 s</w:t>
            </w:r>
          </w:p>
        </w:tc>
        <w:tc>
          <w:tcPr>
            <w:tcW w:type="dxa" w:w="2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Full scan, ~1.7M docs/s</w:t>
            </w:r>
          </w:p>
        </w:tc>
      </w:tr>
      <w:tr>
        <w:trPr>
          <w:tblHeader w:val="false"/>
        </w:trPr>
        <w:tc>
          <w:tcPr>
            <w:tcW w:type="dxa" w:w="5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Units and sales per year (112M cart lines)</w:t>
            </w:r>
          </w:p>
        </w:tc>
        <w:tc>
          <w:tcPr>
            <w:tcW w:type="dxa" w:w="244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44.0 s</w:t>
            </w:r>
          </w:p>
        </w:tc>
        <w:tc>
          <w:tcPr>
            <w:tcW w:type="dxa" w:w="244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Full scan, ~2.5M docs/s</w:t>
            </w:r>
          </w:p>
        </w:tc>
      </w:tr>
    </w:tbl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What it shows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Scatter-gather works: </w:t>
      </w:r>
      <w:r>
        <w:rPr>
          <w:rFonts w:ascii="Calibri" w:cs="Calibri" w:eastAsia="Calibri" w:hAnsi="Calibri"/>
          <w:sz w:val="21"/>
          <w:szCs w:val="21"/>
        </w:rPr>
        <w:t xml:space="preserve">each Analytics node scans its own share in parallel, so adding a node cuts response time and raises throughput in proportion.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Slightly better than linear: </w:t>
      </w:r>
      <w:r>
        <w:rPr>
          <w:rFonts w:ascii="Calibri" w:cs="Calibri" w:eastAsia="Calibri" w:hAnsi="Calibri"/>
          <w:sz w:val="21"/>
          <w:szCs w:val="21"/>
        </w:rPr>
        <w:t xml:space="preserve">with a quarter less data per node, more of it fits in memory, on top of the added CPU and disk.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One query uses part of the cluster: </w:t>
      </w:r>
      <w:r>
        <w:rPr>
          <w:rFonts w:ascii="Calibri" w:cs="Calibri" w:eastAsia="Calibri" w:hAnsi="Calibri"/>
          <w:sz w:val="21"/>
          <w:szCs w:val="21"/>
        </w:rPr>
        <w:t xml:space="preserve">about 3 of 8 cores per node. Concurrency adds throughput with diminishing returns (knee around 3 big scans at once on 3 nodes).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Not tested: </w:t>
      </w:r>
      <w:r>
        <w:rPr>
          <w:rFonts w:ascii="Calibri" w:cs="Calibri" w:eastAsia="Calibri" w:hAnsi="Calibri"/>
          <w:sz w:val="21"/>
          <w:szCs w:val="21"/>
        </w:rPr>
        <w:t xml:space="preserve">larger nodes (8/64, 16/64). The result is "adding nodes scales well", not "more nodes beats bigger nodes".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What it means for Quantic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Production holds roughly 4–8× more data per Analytics node than this test, so on 4 × 8/32 full-history scans will take minutes, not seconds. Adding nodes brings that down roughly in proportion.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Cheapest levers first: Analytics indexes for selective questions (seconds), daily rollups for recurring KPIs (milliseconds), then more nodes for ad hoc and AI-driven analysis across full history.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The phased rollout (Analytics 2 → 4 nodes) doubles as a scaling check on Quantic's real data before any multi-year sizing commitment.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Inputs still needed from Quantic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Number of concurrent reporting users and dashboards, and how far back they query (13 months vs 3 years).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Document mix by type (INFER sample) and whether the ~3.2 TB figure includes replicas.</w:t>
      </w:r>
    </w:p>
    <w:p>
      <w:pPr>
        <w:spacing w:before="24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Synthetic data: the method and scaling behavior are real; business figures are illustrative, not Quantic's.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2026-10-19T16:11:50.404Z</dcterms:created>
  <dcterms:modified xsi:type="dcterms:W3CDTF">2026-10-19T16:11:50.411Z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