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H1"/>
      </w:pPr>
      <w:r>
        <w:t>资源对接平台全功能设计方案</w:t>
      </w:r>
    </w:p>
    <w:p>
      <w:pPr>
        <w:pStyle w:val="CustomNormal"/>
        <w:jc w:val="center"/>
      </w:pPr>
      <w:r>
        <w:t>整理时间：2026年03月27日</w:t>
      </w:r>
    </w:p>
    <w:p/>
    <w:p>
      <w:pPr>
        <w:pStyle w:val="CustomH2"/>
      </w:pPr>
      <w:r>
        <w:t>一、首页视觉与布局规范</w:t>
      </w:r>
    </w:p>
    <w:p>
      <w:pPr>
        <w:pStyle w:val="CustomH3"/>
      </w:pPr>
      <w:r>
        <w:t>1.1 3D地球视觉与资源光点</w:t>
      </w:r>
    </w:p>
    <w:p>
      <w:pPr>
        <w:pStyle w:val="CustomList"/>
      </w:pPr>
      <w:r>
        <w:t>• 首页顶部展示3D地球，中国区域添加动态光点代表活跃资源对接点；</w:t>
      </w:r>
    </w:p>
    <w:p>
      <w:pPr>
        <w:pStyle w:val="CustomList"/>
      </w:pPr>
      <w:r>
        <w:t>• 点击光点可直接查看当地政企资源、行业群码，实现资源直观分发；</w:t>
      </w:r>
    </w:p>
    <w:p>
      <w:pPr>
        <w:pStyle w:val="CustomList"/>
      </w:pPr>
      <w:r>
        <w:t>• 顶部导航栏为悬浮式，滚动页面时可快速切换菜单。</w:t>
      </w:r>
    </w:p>
    <w:p>
      <w:pPr>
        <w:pStyle w:val="CustomH3"/>
      </w:pPr>
      <w:r>
        <w:t>1.2 头部布局结构（header-banner）</w:t>
      </w:r>
    </w:p>
    <w:p>
      <w:pPr>
        <w:pStyle w:val="CustomList"/>
      </w:pPr>
      <w:r>
        <w:t>• 主标题、副标题、描述文字、搜索框统一用大div包裹；</w:t>
      </w:r>
    </w:p>
    <w:p>
      <w:pPr>
        <w:pStyle w:val="CustomList"/>
      </w:pPr>
      <w:r>
        <w:t>• 下方设置3-5张主题轮播卡片，切换时地球同步旋转至对应区域放大展示。</w:t>
      </w:r>
    </w:p>
    <w:p>
      <w:pPr>
        <w:pStyle w:val="CustomH3"/>
      </w:pPr>
      <w:r>
        <w:t>1.3 平台供需总览</w:t>
      </w:r>
    </w:p>
    <w:p>
      <w:pPr>
        <w:pStyle w:val="CustomList"/>
      </w:pPr>
      <w:r>
        <w:t>• 标题：平台供需总览，左侧配地球图标，与首页视觉统一；</w:t>
      </w:r>
    </w:p>
    <w:p>
      <w:pPr>
        <w:pStyle w:val="CustomList"/>
      </w:pPr>
      <w:r>
        <w:t>• 统计口径：936条可对接资源、127条有效需求；</w:t>
      </w:r>
    </w:p>
    <w:p>
      <w:pPr>
        <w:pStyle w:val="CustomList"/>
      </w:pPr>
      <w:r>
        <w:t>• 标签使用半透明深色背景，红色数字突出，不与地球蓝色光效冲突。</w:t>
      </w:r>
    </w:p>
    <w:p>
      <w:pPr>
        <w:pStyle w:val="CustomH3"/>
      </w:pPr>
      <w:r>
        <w:t>1.4 响应式布局规则</w:t>
      </w:r>
    </w:p>
    <w:p>
      <w:pPr>
        <w:pStyle w:val="CustomList"/>
      </w:pPr>
      <w:r>
        <w:t>• PC端：1200px安全区，4列卡片，每列280px，间距20px；</w:t>
      </w:r>
    </w:p>
    <w:p>
      <w:pPr>
        <w:pStyle w:val="CustomList"/>
      </w:pPr>
      <w:r>
        <w:t>• 手机端：左右滑动双列布局，宽度45%，间距10%，按钮高度统一48px。</w:t>
      </w:r>
    </w:p>
    <w:p>
      <w:pPr>
        <w:pStyle w:val="CustomH2"/>
      </w:pPr>
      <w:r>
        <w:t>二、全站导航菜单结构</w:t>
      </w:r>
    </w:p>
    <w:p>
      <w:pPr>
        <w:pStyle w:val="CustomH3"/>
      </w:pPr>
      <w:r>
        <w:t>2.1 顶部一级菜单</w:t>
      </w:r>
    </w:p>
    <w:p>
      <w:pPr>
        <w:pStyle w:val="CustomList"/>
      </w:pPr>
      <w:r>
        <w:t>1.首页  2.行业群码  3.政企资源  4.最新求助  5.民企金融  6.居间护航  7.资源案例</w:t>
      </w:r>
    </w:p>
    <w:p>
      <w:pPr>
        <w:pStyle w:val="CustomH3"/>
      </w:pPr>
      <w:r>
        <w:t>2.2 底部导航栏</w:t>
      </w:r>
    </w:p>
    <w:p>
      <w:pPr>
        <w:pStyle w:val="CustomList"/>
      </w:pPr>
      <w:r>
        <w:t>• 首页（小地球图标）；</w:t>
      </w:r>
    </w:p>
    <w:p>
      <w:pPr>
        <w:pStyle w:val="CustomList"/>
      </w:pPr>
      <w:r>
        <w:t>• 发布群码（蓝色突出圆形按钮）；</w:t>
      </w:r>
    </w:p>
    <w:p>
      <w:pPr>
        <w:pStyle w:val="CustomList"/>
      </w:pPr>
      <w:r>
        <w:t>• 我的（个人中心唯一入口）。</w:t>
      </w:r>
    </w:p>
    <w:p>
      <w:pPr>
        <w:pStyle w:val="CustomH2"/>
      </w:pPr>
      <w:r>
        <w:t>三、发布体系与表单设计</w:t>
      </w:r>
    </w:p>
    <w:p>
      <w:pPr>
        <w:pStyle w:val="CustomH3"/>
      </w:pPr>
      <w:r>
        <w:t>3.1 发布入口统一规则</w:t>
      </w:r>
    </w:p>
    <w:p>
      <w:pPr>
        <w:pStyle w:val="CustomList"/>
      </w:pPr>
      <w:r>
        <w:t>• 首页底部居中蓝色圆形按钮，点击弹出4个发布选项：</w:t>
      </w:r>
    </w:p>
    <w:p>
      <w:pPr>
        <w:pStyle w:val="CustomList"/>
      </w:pPr>
      <w:r>
        <w:t xml:space="preserve">  1.发布企业资源  2.发布找群需求  3.发布机构能量  4.发布优质项目</w:t>
      </w:r>
    </w:p>
    <w:p>
      <w:pPr>
        <w:pStyle w:val="CustomH3"/>
      </w:pPr>
      <w:r>
        <w:t>3.2 发布二维码（群码）表单</w:t>
      </w:r>
    </w:p>
    <w:p>
      <w:pPr>
        <w:pStyle w:val="CustomHighlight"/>
      </w:pPr>
      <w:r>
        <w:t>【必填项】</w:t>
      </w:r>
    </w:p>
    <w:p>
      <w:pPr>
        <w:pStyle w:val="CustomList"/>
      </w:pPr>
      <w:r>
        <w:t>• 群名称、行业分类、群规简介、群二维码上传；</w:t>
      </w:r>
    </w:p>
    <w:p>
      <w:pPr>
        <w:pStyle w:val="CustomList"/>
      </w:pPr>
      <w:r>
        <w:t>• 群主个人微信二维码上传、群主昵称（脱敏为“某行业群主”）；</w:t>
      </w:r>
    </w:p>
    <w:p>
      <w:pPr>
        <w:pStyle w:val="CustomList"/>
      </w:pPr>
      <w:r>
        <w:t>• 联系方式：展示个人微信二维码，不显示真实手机号；</w:t>
      </w:r>
    </w:p>
    <w:p>
      <w:pPr>
        <w:pStyle w:val="CustomList"/>
      </w:pPr>
      <w:r>
        <w:t>• 我承诺群内无违规内容（必勾选）+ 提交按钮。</w:t>
      </w:r>
    </w:p>
    <w:p>
      <w:pPr>
        <w:pStyle w:val="CustomHighlight"/>
      </w:pPr>
      <w:r>
        <w:t>【功能规则】</w:t>
      </w:r>
    </w:p>
    <w:p>
      <w:pPr>
        <w:pStyle w:val="CustomList"/>
      </w:pPr>
      <w:r>
        <w:t>• 系统自动识别二维码区域并检测有效性；</w:t>
      </w:r>
    </w:p>
    <w:p>
      <w:pPr>
        <w:pStyle w:val="CustomList"/>
      </w:pPr>
      <w:r>
        <w:t>• 未登录仅看模糊预览，普通会员每日可看3个完整群码；</w:t>
      </w:r>
    </w:p>
    <w:p>
      <w:pPr>
        <w:pStyle w:val="CustomList"/>
      </w:pPr>
      <w:r>
        <w:t>• 付费会员（99月/199季/299年）无限查看、支持导出。</w:t>
      </w:r>
    </w:p>
    <w:p>
      <w:pPr>
        <w:pStyle w:val="CustomH3"/>
      </w:pPr>
      <w:r>
        <w:t>3.3 企业资源发布表单</w:t>
      </w:r>
    </w:p>
    <w:p>
      <w:pPr>
        <w:pStyle w:val="CustomHighlight"/>
      </w:pPr>
      <w:r>
        <w:t>【必填项（脱敏）】</w:t>
      </w:r>
    </w:p>
    <w:p>
      <w:pPr>
        <w:pStyle w:val="CustomList"/>
      </w:pPr>
      <w:r>
        <w:t>• 企业名称（公开）、所属区域层级（全国/省/市/区县）；</w:t>
      </w:r>
    </w:p>
    <w:p>
      <w:pPr>
        <w:pStyle w:val="CustomList"/>
      </w:pPr>
      <w:r>
        <w:t>• 对接部门、对接岗位（不显示姓名、姓氏）；</w:t>
      </w:r>
    </w:p>
    <w:p>
      <w:pPr>
        <w:pStyle w:val="CustomList"/>
      </w:pPr>
      <w:r>
        <w:t>• 资源/需求简介、详细说明、对接有效期（30/60/90天）；</w:t>
      </w:r>
    </w:p>
    <w:p>
      <w:pPr>
        <w:pStyle w:val="CustomList"/>
      </w:pPr>
      <w:r>
        <w:t>• 资源真实性承诺（必勾选）。</w:t>
      </w:r>
    </w:p>
    <w:p>
      <w:pPr>
        <w:pStyle w:val="CustomH2"/>
      </w:pPr>
      <w:r>
        <w:t>四、政企资源页面规范</w:t>
      </w:r>
    </w:p>
    <w:p>
      <w:pPr>
        <w:pStyle w:val="CustomH3"/>
      </w:pPr>
      <w:r>
        <w:t>4.1 卡片信息结构</w:t>
      </w:r>
    </w:p>
    <w:p>
      <w:pPr>
        <w:pStyle w:val="CustomList"/>
      </w:pPr>
      <w:r>
        <w:t>• 第一行：企业名称 + 区域层级标签；</w:t>
      </w:r>
    </w:p>
    <w:p>
      <w:pPr>
        <w:pStyle w:val="CustomList"/>
      </w:pPr>
      <w:r>
        <w:t>• 第二行：资源/需求简介（最多两行，超出省略）；</w:t>
      </w:r>
    </w:p>
    <w:p>
      <w:pPr>
        <w:pStyle w:val="CustomList"/>
      </w:pPr>
      <w:r>
        <w:t>• 底部：发布时间 + 关系认证星级；</w:t>
      </w:r>
    </w:p>
    <w:p>
      <w:pPr>
        <w:pStyle w:val="CustomList"/>
      </w:pPr>
      <w:r>
        <w:t>• 右侧：立即对接按钮，直达对接表单。</w:t>
      </w:r>
    </w:p>
    <w:p>
      <w:pPr>
        <w:pStyle w:val="CustomH3"/>
      </w:pPr>
      <w:r>
        <w:t>4.2 关系认证星级规则</w:t>
      </w:r>
    </w:p>
    <w:p>
      <w:pPr>
        <w:pStyle w:val="CustomList"/>
      </w:pPr>
      <w:r>
        <w:t>• 1星：间接关系（经中间人介绍）；</w:t>
      </w:r>
    </w:p>
    <w:p>
      <w:pPr>
        <w:pStyle w:val="CustomList"/>
      </w:pPr>
      <w:r>
        <w:t>• 2星：直接关系（本人可对接）；</w:t>
      </w:r>
    </w:p>
    <w:p>
      <w:pPr>
        <w:pStyle w:val="CustomList"/>
      </w:pPr>
      <w:r>
        <w:t>• 用户ID脱敏，仅展示星级，不显示个人信息。</w:t>
      </w:r>
    </w:p>
    <w:p>
      <w:pPr>
        <w:pStyle w:val="CustomH3"/>
      </w:pPr>
      <w:r>
        <w:t>4.3 政企单位行业库（脱敏）</w:t>
      </w:r>
    </w:p>
    <w:p>
      <w:pPr>
        <w:pStyle w:val="CustomList"/>
      </w:pPr>
      <w:r>
        <w:t>涵盖发改、教育、科技、工信、公安、民政、司法、财政、人社、自然资源、生态环境、住建、交通、水利、农业农村、商务、文旅、卫健、退役军人、应急、审计、市场监管、医保、国资、林业、海洋渔业、税务、海关、金融监管等全体系部门。</w:t>
      </w:r>
    </w:p>
    <w:p>
      <w:pPr>
        <w:pStyle w:val="CustomH2"/>
      </w:pPr>
      <w:r>
        <w:t>五、民企金融与融资产品模块</w:t>
      </w:r>
    </w:p>
    <w:p>
      <w:pPr>
        <w:pStyle w:val="CustomH3"/>
      </w:pPr>
      <w:r>
        <w:t>5.1 金融产品卡片展示</w:t>
      </w:r>
    </w:p>
    <w:p>
      <w:pPr>
        <w:pStyle w:val="CustomList"/>
      </w:pPr>
      <w:r>
        <w:t>• 顶部：产品名称 + 平台推荐标签；</w:t>
      </w:r>
    </w:p>
    <w:p>
      <w:pPr>
        <w:pStyle w:val="CustomList"/>
      </w:pPr>
      <w:r>
        <w:t>• 核心区：年化利率、起投金额、期限、还款方式；</w:t>
      </w:r>
    </w:p>
    <w:p>
      <w:pPr>
        <w:pStyle w:val="CustomList"/>
      </w:pPr>
      <w:r>
        <w:t>• 亮点：放款速度、质押方式、适用客群；</w:t>
      </w:r>
    </w:p>
    <w:p>
      <w:pPr>
        <w:pStyle w:val="CustomList"/>
      </w:pPr>
      <w:r>
        <w:t>• 底部：立即对接、预约咨询按钮。</w:t>
      </w:r>
    </w:p>
    <w:p>
      <w:pPr>
        <w:pStyle w:val="CustomH3"/>
      </w:pPr>
      <w:r>
        <w:t>5.2 企业融资自测打分</w:t>
      </w:r>
    </w:p>
    <w:p>
      <w:pPr>
        <w:pStyle w:val="CustomList"/>
      </w:pPr>
      <w:r>
        <w:t>• 资质硬通货：40分（行业、年限、实缴、知识产权）；</w:t>
      </w:r>
    </w:p>
    <w:p>
      <w:pPr>
        <w:pStyle w:val="CustomList"/>
      </w:pPr>
      <w:r>
        <w:t>• 经营健康度：35分（营收、负债率、现金流）；</w:t>
      </w:r>
    </w:p>
    <w:p>
      <w:pPr>
        <w:pStyle w:val="CustomList"/>
      </w:pPr>
      <w:r>
        <w:t>• 融资匹配度：25分（额度、期限、用途）；</w:t>
      </w:r>
    </w:p>
    <w:p>
      <w:pPr>
        <w:pStyle w:val="CustomList"/>
      </w:pPr>
      <w:r>
        <w:t>• PC端展示雷达图，手机端展示阶梯进度条。</w:t>
      </w:r>
    </w:p>
    <w:p>
      <w:pPr>
        <w:pStyle w:val="CustomH2"/>
      </w:pPr>
      <w:r>
        <w:t>六、居间护航模块（核心规则）</w:t>
      </w:r>
    </w:p>
    <w:p>
      <w:pPr>
        <w:pStyle w:val="CustomH3"/>
      </w:pPr>
      <w:r>
        <w:t>6.1 身份自动判定规则（强制系统判定）</w:t>
      </w:r>
    </w:p>
    <w:p>
      <w:pPr>
        <w:pStyle w:val="CustomList"/>
      </w:pPr>
      <w:r>
        <w:t>• 一级居间人：可直接对接甲乙任意一方拍板人；</w:t>
      </w:r>
    </w:p>
    <w:p>
      <w:pPr>
        <w:pStyle w:val="CustomList"/>
      </w:pPr>
      <w:r>
        <w:t>• 二级居间人：仅对接居间链，不可接触决策层。</w:t>
      </w:r>
    </w:p>
    <w:p>
      <w:pPr>
        <w:pStyle w:val="CustomHighlight"/>
      </w:pPr>
      <w:r>
        <w:t>6.2 分成比例（固定不可改）</w:t>
      </w:r>
    </w:p>
    <w:p>
      <w:pPr>
        <w:pStyle w:val="CustomList"/>
      </w:pPr>
      <w:r>
        <w:t>• 所有一级居间人合计：60%；</w:t>
      </w:r>
    </w:p>
    <w:p>
      <w:pPr>
        <w:pStyle w:val="CustomList"/>
      </w:pPr>
      <w:r>
        <w:t>• 所有二级居间人合计：40%；</w:t>
      </w:r>
    </w:p>
    <w:p>
      <w:pPr>
        <w:pStyle w:val="CustomList"/>
      </w:pPr>
      <w:r>
        <w:t>• 比例池锁定，不可跨层级占用。</w:t>
      </w:r>
    </w:p>
    <w:p>
      <w:pPr>
        <w:pStyle w:val="CustomH3"/>
      </w:pPr>
      <w:r>
        <w:t>6.3 居间链管理</w:t>
      </w:r>
    </w:p>
    <w:p>
      <w:pPr>
        <w:pStyle w:val="CustomList"/>
      </w:pPr>
      <w:r>
        <w:t>• 仅开放相邻节点联系方式，禁止跨级联系；</w:t>
      </w:r>
    </w:p>
    <w:p>
      <w:pPr>
        <w:pStyle w:val="CustomList"/>
      </w:pPr>
      <w:r>
        <w:t>• 内置跳单追责条款，违规冻结分成并拉黑；</w:t>
      </w:r>
    </w:p>
    <w:p>
      <w:pPr>
        <w:pStyle w:val="CustomList"/>
      </w:pPr>
      <w:r>
        <w:t>• 一键生成居间协议，支持电子签名、结算节点提醒。</w:t>
      </w:r>
    </w:p>
    <w:p>
      <w:pPr>
        <w:pStyle w:val="CustomH2"/>
      </w:pPr>
      <w:r>
        <w:t>七、资源案例板块</w:t>
      </w:r>
    </w:p>
    <w:p>
      <w:pPr>
        <w:pStyle w:val="CustomList"/>
      </w:pPr>
      <w:r>
        <w:t>• 采用脱敏新闻式标题，如：某300万设备采购项目：双一级分18万、二级分12万；</w:t>
      </w:r>
    </w:p>
    <w:p>
      <w:pPr>
        <w:pStyle w:val="CustomList"/>
      </w:pPr>
      <w:r>
        <w:t>• 内容包含项目背景、对接流程、分成明细、避坑要点；</w:t>
      </w:r>
    </w:p>
    <w:p>
      <w:pPr>
        <w:pStyle w:val="CustomList"/>
      </w:pPr>
      <w:r>
        <w:t>• 为居间人提供可复制的实操参考。</w:t>
      </w:r>
    </w:p>
    <w:p>
      <w:pPr>
        <w:pStyle w:val="CustomH2"/>
      </w:pPr>
      <w:r>
        <w:t>八、会员体系与佣金规则</w:t>
      </w:r>
    </w:p>
    <w:p>
      <w:pPr>
        <w:pStyle w:val="CustomH3"/>
      </w:pPr>
      <w:r>
        <w:t>8.1 会员等级</w:t>
      </w:r>
    </w:p>
    <w:p>
      <w:pPr>
        <w:pStyle w:val="CustomList"/>
      </w:pPr>
      <w:r>
        <w:t>• 普通会员：每日3次免费查看群码；</w:t>
      </w:r>
    </w:p>
    <w:p>
      <w:pPr>
        <w:pStyle w:val="CustomList"/>
      </w:pPr>
      <w:r>
        <w:t>• 月卡99元 / 季卡199元 / 年卡299元：无限查看、高清下载、导出。</w:t>
      </w:r>
    </w:p>
    <w:p>
      <w:pPr>
        <w:pStyle w:val="CustomH3"/>
      </w:pPr>
      <w:r>
        <w:t>8.2 拉新与裂变</w:t>
      </w:r>
    </w:p>
    <w:p>
      <w:pPr>
        <w:pStyle w:val="CustomList"/>
      </w:pPr>
      <w:r>
        <w:t>• 分享海报拉新1人注册 → 额外5次查看权限；</w:t>
      </w:r>
    </w:p>
    <w:p>
      <w:pPr>
        <w:pStyle w:val="CustomList"/>
      </w:pPr>
      <w:r>
        <w:t>• 新用户付费 → 邀请人解锁7天免费会员。</w:t>
      </w:r>
    </w:p>
    <w:p>
      <w:pPr>
        <w:pStyle w:val="CustomH3"/>
      </w:pPr>
      <w:r>
        <w:t>8.3 佣金与提现</w:t>
      </w:r>
    </w:p>
    <w:p>
      <w:pPr>
        <w:pStyle w:val="CustomList"/>
      </w:pPr>
      <w:r>
        <w:t>• 一级佣金：新用户首单30%提成，无多级分销；</w:t>
      </w:r>
    </w:p>
    <w:p>
      <w:pPr>
        <w:pStyle w:val="CustomList"/>
      </w:pPr>
      <w:r>
        <w:t>• 满100元可提现，需绑定实名认证银行卡；</w:t>
      </w:r>
    </w:p>
    <w:p>
      <w:pPr>
        <w:pStyle w:val="CustomList"/>
      </w:pPr>
      <w:r>
        <w:t>• 充值、提现均线下联系管理员，线上不做支付接口。</w:t>
      </w:r>
    </w:p>
    <w:p>
      <w:pPr>
        <w:pStyle w:val="CustomH2"/>
      </w:pPr>
      <w:r>
        <w:t>九、隐私保护与脱敏总规范</w:t>
      </w:r>
    </w:p>
    <w:p>
      <w:pPr>
        <w:pStyle w:val="CustomList"/>
      </w:pPr>
      <w:r>
        <w:t>• 机构/政企名称脱敏：某政企单位、某负责人；</w:t>
      </w:r>
    </w:p>
    <w:p>
      <w:pPr>
        <w:pStyle w:val="CustomList"/>
      </w:pPr>
      <w:r>
        <w:t>• 个人信息：不显示姓名、姓氏、手机号，仅展示部门/岗位；</w:t>
      </w:r>
    </w:p>
    <w:p>
      <w:pPr>
        <w:pStyle w:val="CustomList"/>
      </w:pPr>
      <w:r>
        <w:t>• 联系方式统一用微信二维码，不暴露真实号码；</w:t>
      </w:r>
    </w:p>
    <w:p>
      <w:pPr>
        <w:pStyle w:val="CustomList"/>
      </w:pPr>
      <w:r>
        <w:t>• 敏感词自动检测，违规内容拦截与提示。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Normal">
    <w:name w:val="CustomNormal"/>
    <w:pPr>
      <w:spacing w:line="360" w:lineRule="auto"/>
      <w:ind w:firstLine="480"/>
    </w:pPr>
    <w:rPr>
      <w:rFonts w:ascii="宋体" w:hAnsi="宋体" w:eastAsia="宋体"/>
      <w:sz w:val="24"/>
    </w:rPr>
  </w:style>
  <w:style w:type="paragraph" w:customStyle="1" w:styleId="CustomH1">
    <w:name w:val="CustomH1"/>
    <w:pPr>
      <w:spacing w:after="360" w:before="240"/>
      <w:jc w:val="center"/>
    </w:pPr>
    <w:rPr>
      <w:rFonts w:ascii="黑体" w:hAnsi="黑体" w:eastAsia="黑体"/>
      <w:b/>
      <w:sz w:val="36"/>
    </w:rPr>
  </w:style>
  <w:style w:type="paragraph" w:customStyle="1" w:styleId="CustomH2">
    <w:name w:val="CustomH2"/>
    <w:pPr>
      <w:spacing w:before="240" w:after="120"/>
    </w:pPr>
    <w:rPr>
      <w:rFonts w:ascii="黑体" w:hAnsi="黑体" w:eastAsia="黑体"/>
      <w:b/>
      <w:sz w:val="28"/>
    </w:rPr>
  </w:style>
  <w:style w:type="paragraph" w:customStyle="1" w:styleId="CustomH3">
    <w:name w:val="CustomH3"/>
    <w:pPr>
      <w:spacing w:before="160" w:after="80"/>
    </w:pPr>
    <w:rPr>
      <w:rFonts w:ascii="黑体" w:hAnsi="黑体" w:eastAsia="黑体"/>
      <w:b/>
      <w:sz w:val="26"/>
    </w:rPr>
  </w:style>
  <w:style w:type="paragraph" w:customStyle="1" w:styleId="CustomList">
    <w:name w:val="CustomList"/>
    <w:pPr>
      <w:spacing w:line="360" w:lineRule="auto"/>
      <w:ind w:firstLine="0" w:left="400"/>
    </w:pPr>
    <w:rPr>
      <w:rFonts w:ascii="宋体" w:hAnsi="宋体" w:eastAsia="宋体"/>
      <w:sz w:val="24"/>
    </w:rPr>
  </w:style>
  <w:style w:type="paragraph" w:customStyle="1" w:styleId="CustomHighlight">
    <w:name w:val="CustomHighlight"/>
    <w:pPr>
      <w:ind w:firstLine="0"/>
    </w:pPr>
    <w:rPr>
      <w:rFonts w:ascii="宋体" w:hAnsi="宋体" w:eastAsia="宋体"/>
      <w:b/>
      <w:color w:val="CC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