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38" w:name="required-actions"/>
    <w:p>
      <w:pPr>
        <w:pStyle w:val="Heading2"/>
      </w:pPr>
      <w:r>
        <w:t xml:space="preserve">Required Actions</w:t>
      </w:r>
    </w:p>
    <w:p>
      <w:pPr>
        <w:pStyle w:val="FirstParagraph"/>
      </w:pPr>
      <w:r>
        <w:rPr>
          <w:bCs/>
          <w:b/>
        </w:rPr>
        <w:t xml:space="preserve">The process boils down to two actions:</w:t>
      </w:r>
      <w:r>
        <w:rPr>
          <w:bCs/>
          <w:b/>
        </w:rPr>
        <w:t xml:space="preserve"> </w:t>
      </w:r>
      <w:r>
        <w:rPr>
          <w:rStyle w:val="VerbatimChar"/>
          <w:bCs/>
          <w:b/>
        </w:rPr>
        <w:t xml:space="preserve">Configure</w:t>
      </w:r>
      <w:r>
        <w:rPr>
          <w:bCs/>
          <w:b/>
        </w:rPr>
        <w:t xml:space="preserve"> </w:t>
      </w:r>
      <w:r>
        <w:rPr>
          <w:bCs/>
          <w:b/>
        </w:rPr>
        <w:t xml:space="preserve">and</w:t>
      </w:r>
      <w:r>
        <w:rPr>
          <w:bCs/>
          <w:b/>
        </w:rPr>
        <w:t xml:space="preserve"> </w:t>
      </w:r>
      <w:r>
        <w:rPr>
          <w:rStyle w:val="VerbatimChar"/>
          <w:bCs/>
          <w:b/>
        </w:rPr>
        <w:t xml:space="preserve">Confirm</w:t>
      </w:r>
      <w:r>
        <w:rPr>
          <w:bCs/>
          <w:b/>
        </w:rPr>
        <w:t xml:space="preserve">.</w:t>
      </w:r>
    </w:p>
    <w:p>
      <w:pPr>
        <w:pStyle w:val="BodyText"/>
      </w:pPr>
      <w:r>
        <w:drawing>
          <wp:inline>
            <wp:extent cx="5334000" cy="1923261"/>
            <wp:effectExtent b="0" l="0" r="0" t="0"/>
            <wp:docPr descr="" title="" id="21" name="Picture"/>
            <a:graphic>
              <a:graphicData uri="http://schemas.openxmlformats.org/drawingml/2006/picture">
                <pic:pic>
                  <pic:nvPicPr>
                    <pic:cNvPr descr="images/2actions.png" id="22" name="Picture"/>
                    <pic:cNvPicPr>
                      <a:picLocks noChangeArrowheads="1" noChangeAspect="1"/>
                    </pic:cNvPicPr>
                  </pic:nvPicPr>
                  <pic:blipFill>
                    <a:blip r:embed="rId20"/>
                    <a:stretch>
                      <a:fillRect/>
                    </a:stretch>
                  </pic:blipFill>
                  <pic:spPr bwMode="auto">
                    <a:xfrm>
                      <a:off x="0" y="0"/>
                      <a:ext cx="5334000" cy="1923261"/>
                    </a:xfrm>
                    <a:prstGeom prst="rect">
                      <a:avLst/>
                    </a:prstGeom>
                    <a:noFill/>
                    <a:ln w="9525">
                      <a:noFill/>
                      <a:headEnd/>
                      <a:tailEnd/>
                    </a:ln>
                  </pic:spPr>
                </pic:pic>
              </a:graphicData>
            </a:graphic>
          </wp:inline>
        </w:drawing>
      </w:r>
    </w:p>
    <w:bookmarkStart w:id="32" w:name="configure"/>
    <w:p>
      <w:pPr>
        <w:pStyle w:val="Heading3"/>
      </w:pPr>
      <w:r>
        <w:t xml:space="preserve">Configure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Configure a trusted list of OAuth apps: This is a significant task as most schools see hundreds and thousands of accessed apps.</w:t>
            </w:r>
          </w:p>
        </w:tc>
      </w:tr>
    </w:tbl>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p>
      <w:pPr>
        <w:pStyle w:val="FirstParagraph"/>
      </w:pPr>
      <w:r>
        <w:rPr>
          <w:bCs/>
          <w:b/>
        </w:rPr>
        <w:t xml:space="preserve">Ways to</w:t>
      </w:r>
      <w:r>
        <w:rPr>
          <w:bCs/>
          <w:b/>
        </w:rPr>
        <w:t xml:space="preserve"> </w:t>
      </w:r>
      <w:r>
        <w:rPr>
          <w:bCs/>
          <w:b/>
        </w:rPr>
        <w:t xml:space="preserve">“</w:t>
      </w:r>
      <w:r>
        <w:rPr>
          <w:bCs/>
          <w:b/>
        </w:rPr>
        <w:t xml:space="preserve">approve</w:t>
      </w:r>
      <w:r>
        <w:rPr>
          <w:bCs/>
          <w:b/>
        </w:rPr>
        <w:t xml:space="preserve">”</w:t>
      </w:r>
      <w:r>
        <w:rPr>
          <w:bCs/>
          <w:b/>
        </w:rPr>
        <w:t xml:space="preserve"> </w:t>
      </w:r>
      <w:r>
        <w:rPr>
          <w:bCs/>
          <w:b/>
        </w:rP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27" name="Picture"/>
            <a:graphic>
              <a:graphicData uri="http://schemas.openxmlformats.org/drawingml/2006/picture">
                <pic:pic>
                  <pic:nvPicPr>
                    <pic:cNvPr descr="images/approve.png" id="28" name="Picture"/>
                    <pic:cNvPicPr>
                      <a:picLocks noChangeArrowheads="1" noChangeAspect="1"/>
                    </pic:cNvPicPr>
                  </pic:nvPicPr>
                  <pic:blipFill>
                    <a:blip r:embed="rId26"/>
                    <a:stretch>
                      <a:fillRect/>
                    </a:stretch>
                  </pic:blipFill>
                  <pic:spPr bwMode="auto">
                    <a:xfrm>
                      <a:off x="0" y="0"/>
                      <a:ext cx="5334000" cy="6855023"/>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Watch the September Deep Dive for tips</w:t>
            </w:r>
          </w:p>
        </w:tc>
      </w:tr>
    </w:tbl>
    <w:bookmarkEnd w:id="32"/>
    <w:bookmarkStart w:id="37" w:name="confirm"/>
    <w:p>
      <w:pPr>
        <w:pStyle w:val="Heading3"/>
      </w:pPr>
      <w:r>
        <w:t xml:space="preserve">Confirm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RStudio.app/Contents/Resources/app/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Confirm setting before October 23rd</w:t>
            </w:r>
          </w:p>
        </w:tc>
      </w:tr>
    </w:tbl>
    <w:p>
      <w:pPr>
        <w:numPr>
          <w:ilvl w:val="0"/>
          <w:numId w:val="1003"/>
        </w:numPr>
        <w:pStyle w:val="Compact"/>
      </w:pPr>
      <w:r>
        <w:t xml:space="preserve">This is the</w:t>
      </w:r>
      <w:r>
        <w:t xml:space="preserve"> </w:t>
      </w:r>
      <w:hyperlink r:id="rId35">
        <w:r>
          <w:rPr>
            <w:rStyle w:val="Hyperlink"/>
          </w:rPr>
          <w:t xml:space="preserve">Guided Stepper</w:t>
        </w:r>
      </w:hyperlink>
    </w:p>
    <w:p>
      <w:pPr>
        <w:numPr>
          <w:ilvl w:val="0"/>
          <w:numId w:val="1003"/>
        </w:numPr>
        <w:pStyle w:val="Compact"/>
      </w:pPr>
      <w:r>
        <w:t xml:space="preserve">Think of this as you signing off with</w:t>
      </w:r>
      <w:r>
        <w:t xml:space="preserve"> </w:t>
      </w:r>
      <w:r>
        <w:t xml:space="preserve">“</w:t>
      </w:r>
      <w:r>
        <w:t xml:space="preserve">parental/guardian consent</w:t>
      </w:r>
      <w:r>
        <w:t xml:space="preserve">”</w:t>
      </w:r>
    </w:p>
    <w:p>
      <w:pPr>
        <w:numPr>
          <w:ilvl w:val="0"/>
          <w:numId w:val="1003"/>
        </w:numPr>
        <w:pStyle w:val="Compact"/>
      </w:pPr>
      <w:hyperlink r:id="rId36">
        <w:r>
          <w:rPr>
            <w:rStyle w:val="Hyperlink"/>
          </w:rPr>
          <w:t xml:space="preserve">YouTube video</w:t>
        </w:r>
      </w:hyperlink>
      <w:r>
        <w:t xml:space="preserve"> </w:t>
      </w:r>
      <w:r>
        <w:t xml:space="preserve">of this process.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35" Target="https://admin.google.com/u/0/ac/owl/reviewapps/intro?hl=en" TargetMode="External" /><Relationship Type="http://schemas.openxmlformats.org/officeDocument/2006/relationships/hyperlink" Id="rId36"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35" Target="https://admin.google.com/u/0/ac/owl/reviewapps/intro?hl=en" TargetMode="External" /><Relationship Type="http://schemas.openxmlformats.org/officeDocument/2006/relationships/hyperlink" Id="rId36"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2023-10-08T16:14:36Z</dcterms:created>
  <dcterms:modified xsi:type="dcterms:W3CDTF">2023-10-08T16:14:36Z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