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</w:t>
      </w:r>
      <w:r>
        <w:t xml:space="preserve"> </w:t>
      </w:r>
      <w:r>
        <w:t xml:space="preserve">Controls</w:t>
      </w:r>
    </w:p>
    <w:bookmarkStart w:id="20" w:name="faq"/>
    <w:p>
      <w:pPr>
        <w:pStyle w:val="Heading2"/>
      </w:pPr>
      <w:r>
        <w:t xml:space="preserve">FAQ</w:t>
      </w:r>
    </w:p>
    <w:p>
      <w:pPr>
        <w:numPr>
          <w:ilvl w:val="0"/>
          <w:numId w:val="1001"/>
        </w:numPr>
        <w:pStyle w:val="Compact"/>
      </w:pPr>
      <w:r>
        <w:t xml:space="preserve">Is there a maximum of configured apps?</w:t>
      </w:r>
    </w:p>
    <w:p>
      <w:pPr>
        <w:numPr>
          <w:ilvl w:val="1"/>
          <w:numId w:val="1002"/>
        </w:numPr>
        <w:pStyle w:val="Compact"/>
      </w:pPr>
      <w:r>
        <w:t xml:space="preserve">Yes, 15,000. We are in talks with Google about this</w:t>
      </w:r>
    </w:p>
    <w:p>
      <w:pPr>
        <w:numPr>
          <w:ilvl w:val="0"/>
          <w:numId w:val="1001"/>
        </w:numPr>
        <w:pStyle w:val="Compact"/>
      </w:pPr>
      <w:r>
        <w:t xml:space="preserve">Can I unconfigure an app?</w:t>
      </w:r>
    </w:p>
    <w:p>
      <w:pPr>
        <w:numPr>
          <w:ilvl w:val="1"/>
          <w:numId w:val="1003"/>
        </w:numPr>
        <w:pStyle w:val="Compact"/>
      </w:pPr>
      <w:r>
        <w:t xml:space="preserve">It does not appear like you can truly</w:t>
      </w:r>
      <w:r>
        <w:t xml:space="preserve"> </w:t>
      </w:r>
      <w:r>
        <w:t xml:space="preserve">“</w:t>
      </w:r>
      <w:r>
        <w:t xml:space="preserve">unconfigure</w:t>
      </w:r>
      <w:r>
        <w:t xml:space="preserve">”</w:t>
      </w:r>
      <w:r>
        <w:t xml:space="preserve"> </w:t>
      </w:r>
      <w:r>
        <w:t xml:space="preserve">an app. We are talking to Google about this.</w:t>
      </w:r>
    </w:p>
    <w:p>
      <w:pPr>
        <w:numPr>
          <w:ilvl w:val="0"/>
          <w:numId w:val="1001"/>
        </w:numPr>
        <w:pStyle w:val="Compact"/>
      </w:pPr>
      <w:r>
        <w:t xml:space="preserve">I’m having issues with the iPhone native mail and calendar apps when I’m blocking APIs</w:t>
      </w:r>
    </w:p>
    <w:p>
      <w:pPr>
        <w:numPr>
          <w:ilvl w:val="1"/>
          <w:numId w:val="1004"/>
        </w:numPr>
        <w:pStyle w:val="Compact"/>
      </w:pPr>
      <w:r>
        <w:t xml:space="preserve">This is the full App ID for iOS in my console: 450232826690-0rm6bs9d2fps9tifvk2oodh3tasd7vl7.apps.googleusercontent.com.</w:t>
      </w:r>
    </w:p>
    <w:p>
      <w:pPr>
        <w:numPr>
          <w:ilvl w:val="0"/>
          <w:numId w:val="1001"/>
        </w:numPr>
        <w:pStyle w:val="Compact"/>
      </w:pPr>
      <w:r>
        <w:t xml:space="preserve">Can we disable the ability for students to</w:t>
      </w:r>
      <w:r>
        <w:t xml:space="preserve"> </w:t>
      </w:r>
      <w:r>
        <w:t xml:space="preserve">“</w:t>
      </w:r>
      <w:r>
        <w:t xml:space="preserve">Request apps</w:t>
      </w:r>
      <w:r>
        <w:t xml:space="preserve">”</w:t>
      </w:r>
      <w:r>
        <w:t xml:space="preserve">?</w:t>
      </w:r>
    </w:p>
    <w:p>
      <w:pPr>
        <w:numPr>
          <w:ilvl w:val="1"/>
          <w:numId w:val="1005"/>
        </w:numPr>
        <w:pStyle w:val="Compact"/>
      </w:pPr>
      <w:r>
        <w:t xml:space="preserve">No. But it is something we will talk about internally to see if there is a work around.</w:t>
      </w:r>
    </w:p>
    <w:p>
      <w:pPr>
        <w:numPr>
          <w:ilvl w:val="1"/>
          <w:numId w:val="1005"/>
        </w:numPr>
        <w:pStyle w:val="Compact"/>
      </w:pPr>
      <w:r>
        <w:t xml:space="preserve">We asked Google and it’s</w:t>
      </w:r>
      <w:r>
        <w:t xml:space="preserve"> </w:t>
      </w:r>
      <w:r>
        <w:t xml:space="preserve">“</w:t>
      </w:r>
      <w:r>
        <w:t xml:space="preserve">in the works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Can staff request apps like students?</w:t>
      </w:r>
    </w:p>
    <w:p>
      <w:pPr>
        <w:numPr>
          <w:ilvl w:val="1"/>
          <w:numId w:val="1006"/>
        </w:numPr>
        <w:pStyle w:val="Compact"/>
      </w:pPr>
      <w:r>
        <w:t xml:space="preserve">No. Only under 18 can request. We are asking Google. Most likely a temp thing. (hopefully)</w:t>
      </w:r>
    </w:p>
    <w:p>
      <w:pPr>
        <w:numPr>
          <w:ilvl w:val="0"/>
          <w:numId w:val="1001"/>
        </w:numPr>
        <w:pStyle w:val="Compact"/>
      </w:pPr>
      <w:r>
        <w:t xml:space="preserve">Where does that</w:t>
      </w:r>
      <w:r>
        <w:t xml:space="preserve"> </w:t>
      </w:r>
      <w:r>
        <w:t xml:space="preserve">“</w:t>
      </w:r>
      <w:r>
        <w:t xml:space="preserve">request</w:t>
      </w:r>
      <w:r>
        <w:t xml:space="preserve">”</w:t>
      </w:r>
      <w:r>
        <w:t xml:space="preserve"> </w:t>
      </w:r>
      <w:r>
        <w:t xml:space="preserve">go (when students request access to an app)?</w:t>
      </w:r>
    </w:p>
    <w:p>
      <w:pPr>
        <w:numPr>
          <w:ilvl w:val="1"/>
          <w:numId w:val="1007"/>
        </w:numPr>
        <w:pStyle w:val="Compact"/>
      </w:pPr>
      <w:r>
        <w:t xml:space="preserve">Admin Console Dashboard &gt; App access control card</w:t>
      </w:r>
    </w:p>
    <w:p>
      <w:pPr>
        <w:numPr>
          <w:ilvl w:val="1"/>
          <w:numId w:val="1007"/>
        </w:numPr>
        <w:pStyle w:val="Compact"/>
      </w:pPr>
      <w:r>
        <w:t xml:space="preserve">Security &gt; API Controls &gt; App Access Control &gt; Manage Third-Party App Access. Then it’s the middle box across the top that says</w:t>
      </w:r>
      <w:r>
        <w:t xml:space="preserve"> </w:t>
      </w:r>
      <w:r>
        <w:t xml:space="preserve">“</w:t>
      </w:r>
      <w:r>
        <w:t xml:space="preserve">Apps pending review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Can we see</w:t>
      </w:r>
      <w:r>
        <w:t xml:space="preserve"> </w:t>
      </w:r>
      <w:r>
        <w:t xml:space="preserve">“</w:t>
      </w:r>
      <w:r>
        <w:t xml:space="preserve">who</w:t>
      </w:r>
      <w:r>
        <w:t xml:space="preserve">”</w:t>
      </w:r>
      <w:r>
        <w:t xml:space="preserve"> </w:t>
      </w:r>
      <w:r>
        <w:t xml:space="preserve">requested the app? Can we get alerted?</w:t>
      </w:r>
    </w:p>
    <w:p>
      <w:pPr>
        <w:numPr>
          <w:ilvl w:val="1"/>
          <w:numId w:val="1008"/>
        </w:numPr>
        <w:pStyle w:val="Compact"/>
      </w:pPr>
      <w:r>
        <w:t xml:space="preserve">Under Reporting &gt; Audit and investigation &gt; OAuth log events. Then add the condition</w:t>
      </w:r>
      <w:r>
        <w:t xml:space="preserve"> </w:t>
      </w:r>
      <w:r>
        <w:t xml:space="preserve">“</w:t>
      </w:r>
      <w:r>
        <w:t xml:space="preserve">Event is Request</w:t>
      </w:r>
      <w:r>
        <w:t xml:space="preserve">”</w:t>
      </w:r>
      <w:r>
        <w:t xml:space="preserve">.</w:t>
      </w:r>
    </w:p>
    <w:p>
      <w:pPr>
        <w:numPr>
          <w:ilvl w:val="1"/>
          <w:numId w:val="1008"/>
        </w:numPr>
        <w:pStyle w:val="Compact"/>
      </w:pPr>
      <w:r>
        <w:t xml:space="preserve">Yes, by creating a Custom Rule: With the previous navigation then click on</w:t>
      </w:r>
      <w:r>
        <w:t xml:space="preserve"> </w:t>
      </w:r>
      <w:r>
        <w:t xml:space="preserve">“</w:t>
      </w:r>
      <w:r>
        <w:t xml:space="preserve">Create activity rule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Reporting Rule</w:t>
      </w:r>
      <w:r>
        <w:t xml:space="preserve">”</w:t>
      </w:r>
      <w:r>
        <w:t xml:space="preserve"> </w:t>
      </w:r>
      <w:r>
        <w:t xml:space="preserve">(depending on your edition). It will walk you through creating a rule (alert) where you can have it get sent to the Alert Center and email people.</w:t>
      </w:r>
    </w:p>
    <w:p>
      <w:pPr>
        <w:numPr>
          <w:ilvl w:val="0"/>
          <w:numId w:val="1001"/>
        </w:numPr>
        <w:pStyle w:val="Compact"/>
      </w:pPr>
      <w:r>
        <w:t xml:space="preserve">Can you explain the API Block-Exempt option when trusting an app?</w:t>
      </w:r>
    </w:p>
    <w:p>
      <w:pPr>
        <w:numPr>
          <w:ilvl w:val="1"/>
          <w:numId w:val="1009"/>
        </w:numPr>
        <w:pStyle w:val="Compact"/>
      </w:pPr>
      <w:r>
        <w:t xml:space="preserve">This is for people with Standard or Plus and use Context Aware Access.</w:t>
      </w:r>
    </w:p>
    <w:p>
      <w:pPr>
        <w:numPr>
          <w:ilvl w:val="1"/>
          <w:numId w:val="1009"/>
        </w:numPr>
        <w:pStyle w:val="Compact"/>
      </w:pPr>
      <w:r>
        <w:t xml:space="preserve">Selected apps maintain API access to Google Workspace services even when those services have Context-Aware Access policies that apply to API access. Resources: When adding an app, Assign Context-Aware access levels to apps, Use Cases.</w:t>
      </w:r>
      <w:r>
        <w:t xml:space="preserve"> </w:t>
      </w:r>
      <w:r>
        <w:t xml:space="preserve">image</w:t>
      </w:r>
    </w:p>
    <w:p>
      <w:pPr>
        <w:numPr>
          <w:ilvl w:val="0"/>
          <w:numId w:val="1001"/>
        </w:numPr>
        <w:pStyle w:val="Compact"/>
      </w:pPr>
      <w:r>
        <w:t xml:space="preserve">Q &amp; As from the after party</w:t>
      </w:r>
    </w:p>
    <w:p>
      <w:pPr>
        <w:numPr>
          <w:ilvl w:val="1"/>
          <w:numId w:val="1010"/>
        </w:numPr>
        <w:pStyle w:val="Compact"/>
      </w:pPr>
      <w:r>
        <w:t xml:space="preserve">Slide 1, Slide 2, Slide 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Controls</dc:title>
  <dc:creator/>
  <cp:keywords/>
  <dcterms:created xsi:type="dcterms:W3CDTF">2023-10-08T16:38:00Z</dcterms:created>
  <dcterms:modified xsi:type="dcterms:W3CDTF">2023-10-08T16:38:00Z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