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22" w:name="purpose"/>
    <w:p>
      <w:pPr>
        <w:pStyle w:val="Heading2"/>
      </w:pPr>
      <w:r>
        <w:t xml:space="preserve">Purpose</w:t>
      </w:r>
    </w:p>
    <w:bookmarkStart w:id="20" w:name="what"/>
    <w:p>
      <w:pPr>
        <w:pStyle w:val="Heading3"/>
      </w:pPr>
      <w:r>
        <w:t xml:space="preserve">What?</w:t>
      </w:r>
    </w:p>
    <w:p>
      <w:pPr>
        <w:pStyle w:val="FirstParagraph"/>
      </w:pPr>
      <w:r>
        <w:t xml:space="preserve">I’m taking my</w:t>
      </w:r>
      <w:r>
        <w:t xml:space="preserve"> </w:t>
      </w:r>
      <w:r>
        <w:t xml:space="preserve">“</w:t>
      </w:r>
      <w:r>
        <w:t xml:space="preserve">one pager</w:t>
      </w:r>
      <w:r>
        <w:t xml:space="preserve">”</w:t>
      </w:r>
      <w:r>
        <w:t xml:space="preserve"> </w:t>
      </w:r>
      <w:r>
        <w:t xml:space="preserve">Collaborative Corner about API Controls and migrating it into a single source to allow for multiple types of outputs for multiple types of communication and audiences.</w:t>
      </w:r>
    </w:p>
    <w:bookmarkEnd w:id="20"/>
    <w:bookmarkStart w:id="21" w:name="why"/>
    <w:p>
      <w:pPr>
        <w:pStyle w:val="Heading3"/>
      </w:pPr>
      <w:r>
        <w:t xml:space="preserve">Why?</w:t>
      </w:r>
    </w:p>
    <w:p>
      <w:pPr>
        <w:pStyle w:val="FirstParagraph"/>
      </w:pPr>
      <w:r>
        <w:t xml:space="preserve">The one pager’s initial purpose was an easy and high level view of API Controls but it has turned into a 10 pager, with lots of information and written in various ways (ie blog post, how to, tutorial)</w:t>
      </w:r>
    </w:p>
    <w:bookmarkEnd w:id="21"/>
    <w:bookmarkEnd w:id="22"/>
    <w:bookmarkStart w:id="23" w:name="sections"/>
    <w:p>
      <w:pPr>
        <w:pStyle w:val="Heading2"/>
      </w:pPr>
      <w:r>
        <w:t xml:space="preserve">Sections</w:t>
      </w:r>
    </w:p>
    <w:p>
      <w:pPr>
        <w:numPr>
          <w:ilvl w:val="0"/>
          <w:numId w:val="1001"/>
        </w:numPr>
        <w:pStyle w:val="Compact"/>
      </w:pPr>
      <w:r>
        <w:t xml:space="preserve">Understanding the Latest Updates</w:t>
      </w:r>
    </w:p>
    <w:p>
      <w:pPr>
        <w:numPr>
          <w:ilvl w:val="1"/>
          <w:numId w:val="1002"/>
        </w:numPr>
        <w:pStyle w:val="Compact"/>
      </w:pPr>
      <w:r>
        <w:t xml:space="preserve">Immediate Impact</w:t>
      </w:r>
    </w:p>
    <w:p>
      <w:pPr>
        <w:numPr>
          <w:ilvl w:val="0"/>
          <w:numId w:val="1001"/>
        </w:numPr>
        <w:pStyle w:val="Compact"/>
      </w:pPr>
      <w:r>
        <w:t xml:space="preserve">API Controls Overview</w:t>
      </w:r>
    </w:p>
    <w:p>
      <w:pPr>
        <w:numPr>
          <w:ilvl w:val="1"/>
          <w:numId w:val="1003"/>
        </w:numPr>
        <w:pStyle w:val="Compact"/>
      </w:pPr>
      <w:r>
        <w:t xml:space="preserve">Best Practices</w:t>
      </w:r>
    </w:p>
    <w:p>
      <w:pPr>
        <w:numPr>
          <w:ilvl w:val="0"/>
          <w:numId w:val="1001"/>
        </w:numPr>
        <w:pStyle w:val="Compact"/>
      </w:pPr>
      <w:r>
        <w:t xml:space="preserve">Next Steps: 2 Required Actions before Oct 23rd</w:t>
      </w:r>
    </w:p>
    <w:p>
      <w:pPr>
        <w:numPr>
          <w:ilvl w:val="1"/>
          <w:numId w:val="1004"/>
        </w:numPr>
        <w:pStyle w:val="Compact"/>
      </w:pPr>
      <w:r>
        <w:t xml:space="preserve">Configure a trusted list</w:t>
      </w:r>
    </w:p>
    <w:p>
      <w:pPr>
        <w:numPr>
          <w:ilvl w:val="1"/>
          <w:numId w:val="1004"/>
        </w:numPr>
        <w:pStyle w:val="Compact"/>
      </w:pPr>
      <w:r>
        <w:t xml:space="preserve">Confirm the setting</w:t>
      </w:r>
    </w:p>
    <w:p>
      <w:pPr>
        <w:numPr>
          <w:ilvl w:val="0"/>
          <w:numId w:val="1001"/>
        </w:numPr>
        <w:pStyle w:val="Compact"/>
      </w:pPr>
      <w:r>
        <w:t xml:space="preserve">Creating a trusted list tips</w:t>
      </w:r>
    </w:p>
    <w:p>
      <w:pPr>
        <w:numPr>
          <w:ilvl w:val="0"/>
          <w:numId w:val="1001"/>
        </w:numPr>
        <w:pStyle w:val="Compact"/>
      </w:pPr>
      <w:r>
        <w:t xml:space="preserve">FAQs</w:t>
      </w:r>
    </w:p>
    <w:p>
      <w:pPr>
        <w:numPr>
          <w:ilvl w:val="0"/>
          <w:numId w:val="1001"/>
        </w:numPr>
        <w:pStyle w:val="Compact"/>
      </w:pPr>
      <w:r>
        <w:t xml:space="preserve">Pro Tips</w:t>
      </w:r>
    </w:p>
    <w:p>
      <w:pPr>
        <w:numPr>
          <w:ilvl w:val="1"/>
          <w:numId w:val="1005"/>
        </w:numPr>
        <w:pStyle w:val="Compact"/>
      </w:pPr>
      <w:r>
        <w:t xml:space="preserve">App Script</w:t>
      </w:r>
    </w:p>
    <w:p>
      <w:pPr>
        <w:numPr>
          <w:ilvl w:val="0"/>
          <w:numId w:val="1001"/>
        </w:numPr>
        <w:pStyle w:val="Compact"/>
      </w:pPr>
      <w:r>
        <w:t xml:space="preserve">Resources</w:t>
      </w:r>
    </w:p>
    <w:p>
      <w:pPr>
        <w:numPr>
          <w:ilvl w:val="1"/>
          <w:numId w:val="1006"/>
        </w:numPr>
        <w:pStyle w:val="Compact"/>
      </w:pPr>
      <w:r>
        <w:t xml:space="preserve">Collab Member Resources</w:t>
      </w:r>
    </w:p>
    <w:p>
      <w:pPr>
        <w:numPr>
          <w:ilvl w:val="1"/>
          <w:numId w:val="1006"/>
        </w:numPr>
        <w:pStyle w:val="Compact"/>
      </w:pPr>
      <w:r>
        <w:t xml:space="preserve">Visual Roadmap</w:t>
      </w:r>
    </w:p>
    <w:p>
      <w:pPr>
        <w:numPr>
          <w:ilvl w:val="1"/>
          <w:numId w:val="1006"/>
        </w:numPr>
        <w:pStyle w:val="Compact"/>
      </w:pPr>
      <w:r>
        <w:t xml:space="preserve">Not a Collab member? Try it 45 days for free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Hey there, Google Admins! We’re on the cusp of significant shifts in Google’s API control settings for users under 18, set to shake things up this coming October. This is a noteworthy moment, especially for schools that haven’t yet fine-tuned their API Control settings. And for those who think they’re one step ahead, hold on! A slew of fresh updates and changes have already landed in the admin console, causing ripples of impact.</w:t>
      </w:r>
    </w:p>
    <w:p>
      <w:pPr>
        <w:pStyle w:val="BodyText"/>
      </w:pPr>
      <w:r>
        <w:t xml:space="preserve">With the flurry of updates to the API Controls section in the admin console over the past couple of years, it’s time to take a breather and review the API controls, nail down best practices, identify necessary actions, and map out the route to get there.</w:t>
      </w:r>
    </w:p>
    <w:bookmarkEnd w:id="24"/>
    <w:bookmarkStart w:id="25" w:name="tldr"/>
    <w:p>
      <w:pPr>
        <w:pStyle w:val="Heading2"/>
      </w:pPr>
      <w:r>
        <w:t xml:space="preserve">TL;DR</w:t>
      </w:r>
    </w:p>
    <w:p>
      <w:pPr>
        <w:pStyle w:val="FirstParagraph"/>
      </w:pPr>
      <w:r>
        <w:t xml:space="preserve">Google is pushing us towards a Trusted List approach for OAuth Apps, which will be implemented in October. Google Admins need to set up the trusted list and confirm settings before then.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2023-10-04T12:42:58Z</dcterms:created>
  <dcterms:modified xsi:type="dcterms:W3CDTF">2023-10-04T12:42:58Z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