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Hey there, Google Admins! We’re on the cusp of significant shifts in</w:t>
      </w:r>
      <w:r>
        <w:t xml:space="preserve"> </w:t>
      </w:r>
      <w:r>
        <w:rPr>
          <w:bCs/>
          <w:b/>
        </w:rPr>
        <w:t xml:space="preserve">Google’s API control settings for users under 18</w:t>
      </w:r>
      <w:r>
        <w:t xml:space="preserve">, set to shake things up this coming October. This is a noteworthy moment, especially for schools that haven’t yet fine-tuned their API Control settings. And for those who think they’re one step ahead, hold on! A slew of fresh updates and changes have already landed in the admin console, causing ripples of impact.</w:t>
      </w:r>
    </w:p>
    <w:p>
      <w:pPr>
        <w:pStyle w:val="BodyText"/>
      </w:pPr>
      <w:r>
        <w:t xml:space="preserve">With the flurry of updates to the API Controls section in the admin console over the past couple of years, it’s time to take a breather and review the API controls, nail down best practices, identify necessary actions, and map out the route to get there.</w:t>
      </w:r>
    </w:p>
    <w:bookmarkStart w:id="23" w:name="tldr"/>
    <w:p>
      <w:pPr>
        <w:pStyle w:val="Heading3"/>
      </w:pPr>
      <w:r>
        <w:t xml:space="preserve">TL;DR</w:t>
      </w:r>
    </w:p>
    <w:p>
      <w:pPr>
        <w:pStyle w:val="FirstParagraph"/>
      </w:pPr>
      <w:r>
        <w:t xml:space="preserve">Google is pushing us towards a Trusted List approach for OAuth Apps, which will be implemented in October. Google Admins need to set up the trusted list and confirm settings before then.</w:t>
      </w:r>
    </w:p>
    <w:p>
      <w:pPr>
        <w:pStyle w:val="BodyText"/>
      </w:pPr>
      <w:r>
        <w:drawing>
          <wp:inline>
            <wp:extent cx="5334000" cy="88344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api-gettingstarte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2023-10-08T16:14:48Z</dcterms:created>
  <dcterms:modified xsi:type="dcterms:W3CDTF">2023-10-08T16:14:48Z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