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Datasets description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Storm Data Incidents 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dataset includes all incidents that have been flagged as storm damage by the centralist.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4 classification of damage types: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Tree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Fence, Road signs, Scaffolding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Unknown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not mutually exclusive. Unknown damage types are incident where the damage type has not been recorded.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Area refers to the location of the incident, not the responding fire department.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 priority (P1-P3) is based on their severity and impact where P1 incidents have the highest priority.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 and longitude are written in WGS84 DD coordinates.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Storm Data Deployment 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dataset includes all deployed vehicles during the storm data incidents.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3 main vehicle types: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Autoladder (AL) when a ladder is needed.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Redvoertuig (RV) when general health care is needed.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Tankautospuit(TS) when a fire needs to be extinguished.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Waterongevallenvoertuig (WO) when incidents occur in the water.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certain situations, a vehicle may assume a role that doesn't align with its typical type when additional assistance is required.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fire stations have a designated crew. This can be professionals or volunteers.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speaking the response time of volunteers are slower compared to professionals.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 time to incident is in seconds.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Fire Stations and Vehicles 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list with all the first-line vehicles stationed at the fire stations and there respective vehicle type.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station Amstelveen is the only location where both professionals or volunteers occupy the same fire station.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they use their own vehicles as shown in the list.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