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603504" cy="603504"/>
            <wp:docPr id="1" name="Picture 1" descr="Pahatud logo"/>
            <wp:cNvGraphicFramePr>
              <a:graphicFrameLocks noChangeAspect="1"/>
            </wp:cNvGraphicFramePr>
            <a:graphic>
              <a:graphicData uri="http://schemas.openxmlformats.org/drawingml/2006/picture">
                <pic:pic>
                  <pic:nvPicPr>
                    <pic:cNvPr id="0" name="codex-clipboard-e9489e01-1c56-4bf2-ab25-ee538584d3a2.png"/>
                    <pic:cNvPicPr/>
                  </pic:nvPicPr>
                  <pic:blipFill>
                    <a:blip r:embed="rId10"/>
                    <a:stretch>
                      <a:fillRect/>
                    </a:stretch>
                  </pic:blipFill>
                  <pic:spPr>
                    <a:xfrm>
                      <a:off x="0" y="0"/>
                      <a:ext cx="603504" cy="603504"/>
                    </a:xfrm>
                    <a:prstGeom prst="rect"/>
                  </pic:spPr>
                </pic:pic>
              </a:graphicData>
            </a:graphic>
          </wp:inline>
        </w:drawing>
      </w:r>
    </w:p>
    <w:p>
      <w:pPr>
        <w:pStyle w:val="Title"/>
        <w:pBdr>
          <w:top w:val="nil"/>
          <w:left w:val="nil"/>
          <w:bottom w:val="nil"/>
          <w:right w:val="nil"/>
          <w:between w:val="nil"/>
          <w:bar w:val="nil"/>
        </w:pBdr>
      </w:pPr>
      <w:r>
        <w:t>Independent Business Development Agent Agreement</w:t>
      </w:r>
    </w:p>
    <w:p>
      <w:pPr>
        <w:pStyle w:val="ContractNote"/>
        <w:jc w:val="center"/>
      </w:pPr>
      <w:r>
        <w:t>Draft for Philippine legal review. Complete every highlighted field and remove this note before signature.</w:t>
      </w:r>
    </w:p>
    <w:p>
      <w:pPr>
        <w:widowControl/>
      </w:pPr>
      <w:r>
        <w:t xml:space="preserve">This Independent Business Development Agent Agreement is made effective on </w:t>
      </w:r>
      <w:r>
        <w:rPr>
          <w:b/>
          <w:color w:val="D92722"/>
          <w:shd w:val="clear" w:color="auto" w:fill="FFF0EE"/>
        </w:rPr>
        <w:t>[EFFECTIVE DATE]</w:t>
      </w:r>
      <w:r>
        <w:t xml:space="preserve"> by and between </w:t>
      </w:r>
      <w:r>
        <w:rPr>
          <w:b/>
          <w:color w:val="D92722"/>
          <w:shd w:val="clear" w:color="auto" w:fill="FFF0EE"/>
        </w:rPr>
        <w:t>[PAHATUD LEGAL ENTITY NAME]</w:t>
      </w:r>
      <w:r>
        <w:t xml:space="preserve">, a </w:t>
      </w:r>
      <w:r>
        <w:rPr>
          <w:b/>
          <w:color w:val="D92722"/>
          <w:shd w:val="clear" w:color="auto" w:fill="FFF0EE"/>
        </w:rPr>
        <w:t>[ENTITY TYPE AND JURISDICTION]</w:t>
      </w:r>
      <w:r>
        <w:t xml:space="preserve"> with principal office at </w:t>
      </w:r>
      <w:r>
        <w:rPr>
          <w:b/>
          <w:color w:val="D92722"/>
          <w:shd w:val="clear" w:color="auto" w:fill="FFF0EE"/>
        </w:rPr>
        <w:t>[PAHATUD ADDRESS]</w:t>
      </w:r>
      <w:r>
        <w:t xml:space="preserve"> (Pahatud), and </w:t>
      </w:r>
      <w:r>
        <w:rPr>
          <w:b/>
          <w:color w:val="D92722"/>
          <w:shd w:val="clear" w:color="auto" w:fill="FFF0EE"/>
        </w:rPr>
        <w:t>[agent LEGAL NAME]</w:t>
      </w:r>
      <w:r>
        <w:t xml:space="preserve">, a </w:t>
      </w:r>
      <w:r>
        <w:rPr>
          <w:b/>
          <w:color w:val="D92722"/>
          <w:shd w:val="clear" w:color="auto" w:fill="FFF0EE"/>
        </w:rPr>
        <w:t>[INDIVIDUAL OR ENTITY TYPE]</w:t>
      </w:r>
      <w:r>
        <w:t xml:space="preserve"> with address at </w:t>
      </w:r>
      <w:r>
        <w:rPr>
          <w:b/>
          <w:color w:val="D92722"/>
          <w:shd w:val="clear" w:color="auto" w:fill="FFF0EE"/>
        </w:rPr>
        <w:t>[agent ADDRESS]</w:t>
      </w:r>
      <w:r>
        <w:t xml:space="preserve"> (Agent). Pahatud and the Agent are each a Party and together the Parties.</w:t>
      </w:r>
    </w:p>
    <w:p>
      <w:pPr>
        <w:widowControl/>
      </w:pPr>
      <w:r>
        <w:t>The Parties agree that the schedules form part of this Agreement. If a schedule conflicts with the main terms, the main terms control unless the schedule expressly identifies the clause it replaces.</w:t>
      </w:r>
    </w:p>
    <w:p>
      <w:pPr>
        <w:pStyle w:val="Heading1"/>
        <w:keepNext/>
      </w:pPr>
      <w:r>
        <w:t>1  Purpose and Appointment</w:t>
      </w:r>
    </w:p>
    <w:p>
      <w:pPr>
        <w:widowControl/>
      </w:pPr>
      <w:r>
        <w:t>Pahatud appoints the Agent, on a non-exclusive and revocable basis, to identify prospective merchants, introduce the Pahatud marketplace, assist prospects with approved onboarding steps, and provide the other services listed in Schedule A. The Agent accepts the appointment.</w:t>
      </w:r>
    </w:p>
    <w:p>
      <w:pPr>
        <w:widowControl/>
      </w:pPr>
      <w:r>
        <w:t>The appointment is limited to the territory and channels stated in Schedule A. Pahatud may appoint other agents, market directly, accept or reject any prospect, and change its products, eligibility standards, pricing, or service areas.</w:t>
      </w:r>
    </w:p>
    <w:p>
      <w:pPr>
        <w:pStyle w:val="Heading1"/>
        <w:keepNext/>
      </w:pPr>
      <w:r>
        <w:t>2  Definitions</w:t>
      </w:r>
    </w:p>
    <w:p>
      <w:pPr>
        <w:widowControl/>
      </w:pPr>
      <w:r>
        <w:t>Approved Materials means scripts, price lists, presentations, forms, logos, and other content that Pahatud authorizes in writing. Confidential Information means non-public business, technical, financial, customer, merchant, pricing, product, security, and operational information. Qualified Merchant means a prospect that satisfies every condition in Schedule B and is accepted by Pahatud. Personal Data has the meaning given by applicable Philippine privacy law.</w:t>
      </w:r>
    </w:p>
    <w:p>
      <w:pPr>
        <w:pStyle w:val="Heading1"/>
        <w:keepNext/>
      </w:pPr>
      <w:r>
        <w:t>3  Agent Responsibilities</w:t>
      </w:r>
    </w:p>
    <w:p>
      <w:pPr>
        <w:ind w:left="403" w:hanging="403"/>
        <w:widowControl/>
      </w:pPr>
      <w:r>
        <w:rPr>
          <w:b/>
        </w:rPr>
        <w:t xml:space="preserve">3.1 </w:t>
      </w:r>
      <w:r>
        <w:t>The Agent will perform the services professionally, honestly, and in compliance with Pahatud policies and applicable law.</w:t>
      </w:r>
    </w:p>
    <w:p>
      <w:pPr>
        <w:ind w:left="403" w:hanging="403"/>
        <w:widowControl/>
      </w:pPr>
      <w:r>
        <w:rPr>
          <w:b/>
        </w:rPr>
        <w:t xml:space="preserve">3.2 </w:t>
      </w:r>
      <w:r>
        <w:t>The Agent will give prospects accurate, current information and will use only Approved Materials. The Agent will promptly correct any statement that becomes inaccurate.</w:t>
      </w:r>
    </w:p>
    <w:p>
      <w:pPr>
        <w:ind w:left="403" w:hanging="403"/>
        <w:widowControl/>
      </w:pPr>
      <w:r>
        <w:rPr>
          <w:b/>
        </w:rPr>
        <w:t xml:space="preserve">3.3 </w:t>
      </w:r>
      <w:r>
        <w:t>The Agent will submit complete and authentic lead and onboarding records through the method designated by Pahatud. The Agent will not falsify referrals, create duplicate leads, or claim credit for prospects introduced by another source.</w:t>
      </w:r>
    </w:p>
    <w:p>
      <w:pPr>
        <w:ind w:left="403" w:hanging="403"/>
        <w:widowControl/>
      </w:pPr>
      <w:r>
        <w:rPr>
          <w:b/>
        </w:rPr>
        <w:t xml:space="preserve">3.4 </w:t>
      </w:r>
      <w:r>
        <w:t>The Agent will protect all documents and credentials received from prospects and will transfer them only through Pahatud-approved systems.</w:t>
      </w:r>
    </w:p>
    <w:p>
      <w:pPr>
        <w:ind w:left="403" w:hanging="403"/>
        <w:widowControl/>
      </w:pPr>
      <w:r>
        <w:rPr>
          <w:b/>
        </w:rPr>
        <w:t xml:space="preserve">3.5 </w:t>
      </w:r>
      <w:r>
        <w:t>The Agent will promptly report suspected fraud, bribery, harassment, data loss, consumer harm, merchant misconduct, or misuse of the Pahatud name.</w:t>
      </w:r>
    </w:p>
    <w:p>
      <w:pPr>
        <w:ind w:left="403" w:hanging="403"/>
        <w:widowControl/>
      </w:pPr>
      <w:r>
        <w:rPr>
          <w:b/>
        </w:rPr>
        <w:t xml:space="preserve">3.6 </w:t>
      </w:r>
      <w:r>
        <w:t>The Agent will maintain the registrations, permits, tax records, equipment, connectivity, and insurance reasonably necessary for an independent business of this type.</w:t>
      </w:r>
    </w:p>
    <w:p>
      <w:pPr>
        <w:pStyle w:val="Heading1"/>
        <w:keepNext/>
      </w:pPr>
      <w:r>
        <w:t>4  Prohibited Conduct</w:t>
      </w:r>
    </w:p>
    <w:p>
      <w:pPr>
        <w:pStyle w:val="ListBullet"/>
        <w:ind w:left="504" w:hanging="259"/>
      </w:pPr>
      <w:r>
        <w:t>The Agent must not sign an agreement, promise approval, change Pahatud terms, extend credit, grant a discount, settle a complaint, or otherwise bind Pahatud.</w:t>
      </w:r>
    </w:p>
    <w:p>
      <w:pPr>
        <w:pStyle w:val="ListBullet"/>
        <w:ind w:left="504" w:hanging="259"/>
      </w:pPr>
      <w:r>
        <w:t>The Agent must not receive customer or merchant funds, card details, passwords, one-time passwords, deposits, or fees on behalf of Pahatud unless a written amendment expressly authorizes a specific collection process.</w:t>
      </w:r>
    </w:p>
    <w:p>
      <w:pPr>
        <w:pStyle w:val="ListBullet"/>
        <w:ind w:left="504" w:hanging="259"/>
      </w:pPr>
      <w:r>
        <w:t>The Agent must not make false earnings claims, guarantee sales, misrepresent platform features, conceal charges, or use pressure, deception, or harassment.</w:t>
      </w:r>
    </w:p>
    <w:p>
      <w:pPr>
        <w:pStyle w:val="ListBullet"/>
        <w:ind w:left="504" w:hanging="259"/>
      </w:pPr>
      <w:r>
        <w:t>The Agent must not offer, request, or accept a bribe, kickback, secret commission, or improper benefit.</w:t>
      </w:r>
    </w:p>
    <w:p>
      <w:pPr>
        <w:pStyle w:val="ListBullet"/>
        <w:ind w:left="504" w:hanging="259"/>
      </w:pPr>
      <w:r>
        <w:t>The Agent must not copy merchant or customer information to a personal device or account except as strictly necessary through an approved and secured process.</w:t>
      </w:r>
    </w:p>
    <w:p>
      <w:pPr>
        <w:pStyle w:val="ListBullet"/>
        <w:ind w:left="504" w:hanging="259"/>
      </w:pPr>
      <w:r>
        <w:t>The Agent must not use sub-agents, delegates, or subcontractors without Pahatud’s prior written approval.</w:t>
      </w:r>
    </w:p>
    <w:p>
      <w:pPr>
        <w:pStyle w:val="ListBullet"/>
        <w:ind w:left="504" w:hanging="259"/>
      </w:pPr>
      <w:r>
        <w:t>The Agent must not present as an employee, officer, partner, franchisee, or legal representative of Pahatud.</w:t>
      </w:r>
    </w:p>
    <w:p>
      <w:pPr>
        <w:pStyle w:val="Heading1"/>
        <w:keepNext/>
      </w:pPr>
      <w:r>
        <w:t>5  Limited Authority</w:t>
      </w:r>
    </w:p>
    <w:p>
      <w:pPr>
        <w:widowControl/>
      </w:pPr>
      <w:r>
        <w:t>The Agent may solicit interest and assist with administrative onboarding only. Pahatud alone may approve a merchant, issue binding terms, determine platform access, collect platform charges, or make commitments to customers and merchants. The Agent has no authority to make representations outside Approved Materials. Any unauthorized act is outside the scope of this appointment and must be disclosed to Pahatud immediately.</w:t>
      </w:r>
    </w:p>
    <w:p>
      <w:pPr>
        <w:pStyle w:val="Heading1"/>
        <w:keepNext/>
      </w:pPr>
      <w:r>
        <w:t>6  Independent Contractor Relationship</w:t>
      </w:r>
    </w:p>
    <w:p>
      <w:pPr>
        <w:widowControl/>
      </w:pPr>
      <w:r>
        <w:t>The Agent is an independent contractor and controls the manner, sequence, place, and time of performing the services, subject to the results, legal requirements, brand rules, security requirements, and deadlines stated in this Agreement. The Agent may serve other clients, uses the Agent’s own equipment and resources, bears the Agent’s business expenses unless Schedule B states otherwise, and is not required to work fixed hours.</w:t>
      </w:r>
    </w:p>
    <w:p>
      <w:pPr>
        <w:widowControl/>
      </w:pPr>
      <w:r>
        <w:t>Nothing in this Agreement creates employment, partnership, joint venture, franchise, fiduciary relationship, or authority beyond the limited appointment in Clause 5. The Agent is not entitled to wages, overtime pay, leave, retirement benefits, separation pay, employer contributions, or other employee benefits. The Parties will conduct the relationship consistently with this clause. A contractual label does not override the relationship created by the Parties’ actual conduct or mandatory law.</w:t>
      </w:r>
    </w:p>
    <w:p>
      <w:pPr>
        <w:pStyle w:val="Heading1"/>
        <w:keepNext/>
      </w:pPr>
      <w:r>
        <w:t>7  Commission and Payment</w:t>
      </w:r>
    </w:p>
    <w:p>
      <w:pPr>
        <w:ind w:left="403" w:hanging="403"/>
        <w:widowControl/>
      </w:pPr>
      <w:r>
        <w:rPr>
          <w:b/>
        </w:rPr>
        <w:t xml:space="preserve">7.1 </w:t>
      </w:r>
      <w:r>
        <w:t>Pahatud will pay only the commissions stated in Schedule B. A commission is earned only after every stated qualification and payment trigger occurs.</w:t>
      </w:r>
    </w:p>
    <w:p>
      <w:pPr>
        <w:ind w:left="403" w:hanging="403"/>
        <w:widowControl/>
      </w:pPr>
      <w:r>
        <w:rPr>
          <w:b/>
        </w:rPr>
        <w:t xml:space="preserve">7.2 </w:t>
      </w:r>
      <w:r>
        <w:t>Pahatud’s platform and accounting records govern lead attribution and transaction amounts unless the Agent shows a clear error with contemporaneous records.</w:t>
      </w:r>
    </w:p>
    <w:p>
      <w:pPr>
        <w:ind w:left="403" w:hanging="403"/>
        <w:widowControl/>
      </w:pPr>
      <w:r>
        <w:rPr>
          <w:b/>
        </w:rPr>
        <w:t xml:space="preserve">7.3 </w:t>
      </w:r>
      <w:r>
        <w:t>Pahatud may withhold or reverse a commission for duplicate or fraudulent referrals, canceled onboarding, refunded transactions, chargebacks, policy violations, overpayments, or amounts paid in error, as detailed in Schedule B.</w:t>
      </w:r>
    </w:p>
    <w:p>
      <w:pPr>
        <w:ind w:left="403" w:hanging="403"/>
        <w:widowControl/>
      </w:pPr>
      <w:r>
        <w:rPr>
          <w:b/>
        </w:rPr>
        <w:t xml:space="preserve">7.4 </w:t>
      </w:r>
      <w:r>
        <w:t>Pahatud may deduct taxes required by law and will provide the applicable withholding certificate. The Agent is responsible for registrations, filings, invoices, and taxes imposed on the Agent’s business or income.</w:t>
      </w:r>
    </w:p>
    <w:p>
      <w:pPr>
        <w:ind w:left="403" w:hanging="403"/>
        <w:widowControl/>
      </w:pPr>
      <w:r>
        <w:rPr>
          <w:b/>
        </w:rPr>
        <w:t xml:space="preserve">7.5 </w:t>
      </w:r>
      <w:r>
        <w:t>Except for approved written expenses in Schedule B, each Party bears its own costs.</w:t>
      </w:r>
    </w:p>
    <w:p>
      <w:pPr>
        <w:pStyle w:val="Heading1"/>
        <w:keepNext/>
      </w:pPr>
      <w:r>
        <w:t>8  Records and Review</w:t>
      </w:r>
    </w:p>
    <w:p>
      <w:pPr>
        <w:widowControl/>
      </w:pPr>
      <w:r>
        <w:t xml:space="preserve">The Agent will keep accurate lead, activity, consent, expense, and commission-supporting records for </w:t>
      </w:r>
      <w:r>
        <w:rPr>
          <w:b/>
          <w:color w:val="D92722"/>
          <w:shd w:val="clear" w:color="auto" w:fill="FFF0EE"/>
        </w:rPr>
        <w:t>[RECORD RETENTION PERIOD]</w:t>
      </w:r>
      <w:r>
        <w:t xml:space="preserve"> after creation or the longer period required by law. On reasonable notice, Pahatud may review records directly related to this Agreement for compliance, commission verification, fraud investigation, or a lawful request. Reviews must respect third-party confidentiality and data minimization.</w:t>
      </w:r>
    </w:p>
    <w:p>
      <w:pPr>
        <w:pStyle w:val="Heading1"/>
        <w:keepNext/>
      </w:pPr>
      <w:r>
        <w:t>9  Confidentiality</w:t>
      </w:r>
    </w:p>
    <w:p>
      <w:pPr>
        <w:widowControl/>
      </w:pPr>
      <w:r>
        <w:t>The receiving Party will use Confidential Information only to perform this Agreement, protect it with reasonable care, and disclose it only to persons who need it and are bound by confidentiality duties. Confidential Information excludes information the receiving Party can document was already lawfully known, became public without breach, was received lawfully without restriction, or was independently developed.</w:t>
      </w:r>
    </w:p>
    <w:p>
      <w:pPr>
        <w:widowControl/>
      </w:pPr>
      <w:r>
        <w:t xml:space="preserve">A Party may disclose Confidential Information when required by law after giving prompt notice when legally permitted and limiting the disclosure. On request or termination, the Agent will return or securely delete Pahatud Confidential Information, subject to lawful retention. These obligations continue for </w:t>
      </w:r>
      <w:r>
        <w:rPr>
          <w:b/>
          <w:color w:val="D92722"/>
          <w:shd w:val="clear" w:color="auto" w:fill="FFF0EE"/>
        </w:rPr>
        <w:t>[CONFIDENTIALITY PERIOD]</w:t>
      </w:r>
      <w:r>
        <w:t xml:space="preserve"> after termination; trade secrets remain protected while they qualify as trade secrets.</w:t>
      </w:r>
    </w:p>
    <w:p>
      <w:pPr>
        <w:pStyle w:val="Heading1"/>
        <w:keepNext/>
      </w:pPr>
      <w:r>
        <w:t>10  Privacy and Information Security</w:t>
      </w:r>
    </w:p>
    <w:p>
      <w:pPr>
        <w:ind w:left="403" w:hanging="403"/>
        <w:widowControl/>
      </w:pPr>
      <w:r>
        <w:rPr>
          <w:b/>
        </w:rPr>
        <w:t xml:space="preserve">10.1 </w:t>
      </w:r>
      <w:r>
        <w:t>Each Party will comply with Republic Act No. 10173, its implementing rules, National Privacy Commission issuances, and other applicable privacy laws. Personal Data may be processed only for documented onboarding, relationship management, fraud prevention, support, payment, or legal compliance purposes.</w:t>
      </w:r>
    </w:p>
    <w:p>
      <w:pPr>
        <w:ind w:left="403" w:hanging="403"/>
        <w:widowControl/>
      </w:pPr>
      <w:r>
        <w:rPr>
          <w:b/>
        </w:rPr>
        <w:t xml:space="preserve">10.2 </w:t>
      </w:r>
      <w:r>
        <w:t>The Agent will collect only the minimum data requested by Pahatud, give required notices, use lawful processing grounds, keep data accurate, restrict access, and securely delete data when no longer needed.</w:t>
      </w:r>
    </w:p>
    <w:p>
      <w:pPr>
        <w:ind w:left="403" w:hanging="403"/>
        <w:widowControl/>
      </w:pPr>
      <w:r>
        <w:rPr>
          <w:b/>
        </w:rPr>
        <w:t xml:space="preserve">10.3 </w:t>
      </w:r>
      <w:r>
        <w:t>The Agent will use reasonable organizational, physical, and technical safeguards, including strong passwords, device locking, current security updates, and secure transmission. The Agent must not share credentials.</w:t>
      </w:r>
    </w:p>
    <w:p>
      <w:pPr>
        <w:ind w:left="403" w:hanging="403"/>
        <w:widowControl/>
      </w:pPr>
      <w:r>
        <w:rPr>
          <w:b/>
        </w:rPr>
        <w:t xml:space="preserve">10.4 The Agent will notify Pahatud at </w:t>
      </w:r>
      <w:r>
        <w:rPr>
          <w:b/>
          <w:color w:val="D92722"/>
          <w:shd w:val="clear" w:color="auto" w:fill="FFF0EE"/>
        </w:rPr>
        <w:t>[PRIVACY CONTACT EMAIL OR NUMBER]</w:t>
      </w:r>
      <w:r>
        <w:t xml:space="preserve"> immediately and no later than twenty-four hours after discovering any actual or suspected unauthorized access, loss, disclosure, alteration, or processing. The Agent will preserve evidence, contain the incident, and cooperate with assessment and notification.</w:t>
      </w:r>
    </w:p>
    <w:p>
      <w:pPr>
        <w:ind w:left="403" w:hanging="403"/>
        <w:widowControl/>
      </w:pPr>
      <w:r>
        <w:rPr>
          <w:b/>
        </w:rPr>
        <w:t xml:space="preserve">10.5 </w:t>
      </w:r>
      <w:r>
        <w:t>The Agent may process Personal Data only on Pahatud’s documented instructions when acting on Pahatud’s behalf and may not appoint another processor without prior written approval. Schedule C describes the authorized processing.</w:t>
      </w:r>
    </w:p>
    <w:p>
      <w:pPr>
        <w:pStyle w:val="Heading1"/>
        <w:keepNext/>
      </w:pPr>
      <w:r>
        <w:t>11  Brand and Intellectual Property</w:t>
      </w:r>
    </w:p>
    <w:p>
      <w:pPr>
        <w:widowControl/>
      </w:pPr>
      <w:r>
        <w:t>Pahatud and its licensors retain all rights in the platform, software, trademarks, content, data models, and Approved Materials. Pahatud grants the Agent a limited, non-exclusive, non-transferable, revocable license during the term to use Approved Materials solely for the services. The Agent will follow brand instructions, will not register confusing names or accounts, and will not modify or create public materials using Pahatud branding without written approval.</w:t>
      </w:r>
    </w:p>
    <w:p>
      <w:pPr>
        <w:widowControl/>
      </w:pPr>
      <w:r>
        <w:t>The Agent grants Pahatud a perpetual, worldwide, royalty-free license to use feedback and non-confidential suggestions provided about the platform. This license does not transfer ownership of the Agent’s pre-existing materials.</w:t>
      </w:r>
    </w:p>
    <w:p>
      <w:pPr>
        <w:pStyle w:val="Heading1"/>
        <w:keepNext/>
      </w:pPr>
      <w:r>
        <w:t>12  Compliance and Ethical Conduct</w:t>
      </w:r>
    </w:p>
    <w:p>
      <w:pPr>
        <w:widowControl/>
      </w:pPr>
      <w:r>
        <w:t>The Agent will comply with applicable anti-bribery, consumer protection, electronic commerce, privacy, advertising, competition, tax, and local business laws. The Agent will avoid conflicts of interest and promptly disclose any personal, financial, or family relationship that could affect a referral or merchant approval. The Agent will not discriminate, threaten, harass, or retaliate against any prospect, merchant, customer, rider, employee, or other agent.</w:t>
      </w:r>
    </w:p>
    <w:p>
      <w:pPr>
        <w:pStyle w:val="Heading1"/>
        <w:keepNext/>
      </w:pPr>
      <w:r>
        <w:t>13  Representations and Warranties</w:t>
      </w:r>
    </w:p>
    <w:p>
      <w:pPr>
        <w:widowControl/>
      </w:pPr>
      <w:r>
        <w:t>Each Party represents that it has authority to enter into this Agreement. The Agent represents that all submitted information is accurate, the services will not infringe third-party rights, and no other obligation prevents performance. Except for express promises in this Agreement, Pahatud does not guarantee that any lead will be approved, that the platform will be uninterrupted, or that the Agent will earn a particular amount.</w:t>
      </w:r>
    </w:p>
    <w:p>
      <w:pPr>
        <w:pStyle w:val="Heading1"/>
        <w:keepNext/>
      </w:pPr>
      <w:r>
        <w:t>14  Indemnity</w:t>
      </w:r>
    </w:p>
    <w:p>
      <w:pPr>
        <w:widowControl/>
      </w:pPr>
      <w:r>
        <w:t>To the extent permitted by law, the Agent will defend, indemnify, and hold harmless Pahatud, its affiliates, and their officers, directors, and personnel from third-party claims, penalties, losses, and reasonable costs arising from the Agent’s unauthorized representation, unlawful conduct, breach of this Agreement, infringement, fraud, negligence, tax obligation, or violation of privacy or security duties. Pahatud must promptly notify the Agent of a claim, allow the Agent to control the defense with competent counsel, and reasonably cooperate. The Agent may not settle a claim that admits fault by or imposes a non-monetary duty on Pahatud without Pahatud’s written consent.</w:t>
      </w:r>
    </w:p>
    <w:p>
      <w:pPr>
        <w:pStyle w:val="Heading1"/>
        <w:keepNext/>
      </w:pPr>
      <w:r>
        <w:t>15  Liability Limits</w:t>
      </w:r>
    </w:p>
    <w:p>
      <w:pPr>
        <w:widowControl/>
      </w:pPr>
      <w:r>
        <w:t xml:space="preserve">To the extent permitted by law, neither Party is liable to the other for indirect, incidental, special, exemplary, or consequential damages, or lost profits not forming part of a direct payment obligation. Pahatud’s aggregate liability arising from this Agreement will not exceed the commissions paid or payable to the Agent during the </w:t>
      </w:r>
      <w:r>
        <w:rPr>
          <w:b/>
          <w:color w:val="D92722"/>
          <w:shd w:val="clear" w:color="auto" w:fill="FFF0EE"/>
        </w:rPr>
        <w:t>[LIABILITY LOOKBACK PERIOD]</w:t>
      </w:r>
      <w:r>
        <w:t xml:space="preserve"> before the event giving rise to the claim.</w:t>
      </w:r>
    </w:p>
    <w:p>
      <w:pPr>
        <w:widowControl/>
      </w:pPr>
      <w:r>
        <w:t>The exclusions and cap do not apply to fraud, willful misconduct, breach of confidentiality, privacy or security violations, infringement, indemnity obligations, unpaid earned commissions, or liability that cannot lawfully be limited.</w:t>
      </w:r>
    </w:p>
    <w:p>
      <w:pPr>
        <w:pStyle w:val="Heading1"/>
        <w:keepNext/>
      </w:pPr>
      <w:r>
        <w:t>16  Term Suspension and Termination</w:t>
      </w:r>
    </w:p>
    <w:p>
      <w:pPr>
        <w:ind w:left="403" w:hanging="403"/>
        <w:widowControl/>
      </w:pPr>
      <w:r>
        <w:rPr>
          <w:b/>
        </w:rPr>
        <w:t xml:space="preserve">16.1 This Agreement starts on the Effective Date and continues for </w:t>
      </w:r>
      <w:r>
        <w:rPr>
          <w:b/>
          <w:color w:val="D92722"/>
          <w:shd w:val="clear" w:color="auto" w:fill="FFF0EE"/>
        </w:rPr>
        <w:t>[INITIAL TERM]</w:t>
      </w:r>
      <w:r>
        <w:t xml:space="preserve">, then </w:t>
      </w:r>
      <w:r>
        <w:rPr>
          <w:b/>
          <w:color w:val="D92722"/>
          <w:shd w:val="clear" w:color="auto" w:fill="FFF0EE"/>
        </w:rPr>
        <w:t>[RENEWAL TERMS]</w:t>
      </w:r>
      <w:r>
        <w:t>, unless terminated under this clause.</w:t>
      </w:r>
    </w:p>
    <w:p>
      <w:pPr>
        <w:ind w:left="403" w:hanging="403"/>
        <w:widowControl/>
      </w:pPr>
      <w:r>
        <w:rPr>
          <w:b/>
        </w:rPr>
        <w:t xml:space="preserve">16.2 Either Party may terminate without cause by giving </w:t>
      </w:r>
      <w:r>
        <w:rPr>
          <w:b/>
          <w:color w:val="D92722"/>
          <w:shd w:val="clear" w:color="auto" w:fill="FFF0EE"/>
        </w:rPr>
        <w:t>[NOTICE PERIOD]</w:t>
      </w:r>
      <w:r>
        <w:t xml:space="preserve"> written notice.</w:t>
      </w:r>
    </w:p>
    <w:p>
      <w:pPr>
        <w:ind w:left="403" w:hanging="403"/>
        <w:widowControl/>
      </w:pPr>
      <w:r>
        <w:rPr>
          <w:b/>
        </w:rPr>
        <w:t xml:space="preserve">16.3 </w:t>
      </w:r>
      <w:r>
        <w:t>Pahatud may suspend access or terminate immediately for fraud, bribery, harassment, data or security risk, unauthorized collection of money, material misrepresentation, unlawful conduct, serious brand harm, insolvency, or a material breach that cannot be cured.</w:t>
      </w:r>
    </w:p>
    <w:p>
      <w:pPr>
        <w:ind w:left="403" w:hanging="403"/>
        <w:widowControl/>
      </w:pPr>
      <w:r>
        <w:rPr>
          <w:b/>
        </w:rPr>
        <w:t xml:space="preserve">16.4 For a curable material breach, the non-breaching Party may terminate if the breach is not cured within </w:t>
      </w:r>
      <w:r>
        <w:rPr>
          <w:b/>
          <w:color w:val="D92722"/>
          <w:shd w:val="clear" w:color="auto" w:fill="FFF0EE"/>
        </w:rPr>
        <w:t>[CURE PERIOD]</w:t>
      </w:r>
      <w:r>
        <w:t xml:space="preserve"> after written notice.</w:t>
      </w:r>
    </w:p>
    <w:p>
      <w:pPr>
        <w:ind w:left="403" w:hanging="403"/>
        <w:widowControl/>
      </w:pPr>
      <w:r>
        <w:rPr>
          <w:b/>
        </w:rPr>
        <w:t xml:space="preserve">16.5 </w:t>
      </w:r>
      <w:r>
        <w:t>On termination, the Agent will stop representing Pahatud, stop using Pahatud materials and systems, return or delete protected information, submit final records, and cooperate in an orderly transition. Pahatud will pay earned and undisputed commissions according to Schedule B, subject to lawful deductions and reversals.</w:t>
      </w:r>
    </w:p>
    <w:p>
      <w:pPr>
        <w:pStyle w:val="Heading1"/>
        <w:keepNext/>
      </w:pPr>
      <w:r>
        <w:t>17  Notices</w:t>
      </w:r>
    </w:p>
    <w:p>
      <w:pPr>
        <w:widowControl/>
      </w:pPr>
      <w:r>
        <w:t>Formal notices must be sent by personal delivery, recognized courier, or email to the addresses below or to a replacement address notified in writing. Email notice is received when the sender receives a non-automated acknowledgment or on the next business day if no delivery failure is received. Notices of termination, breach, or legal claim should also be sent by courier when practicable.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656"/>
            <w:shd w:fill="EF3B35"/>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jc w:val="left"/>
            </w:pPr>
            <w:r>
              <w:rPr>
                <w:rFonts w:ascii="Manrope" w:hAnsi="Manrope"/>
                <w:b/>
                <w:color w:val="FFFFFF"/>
                <w:sz w:val="19"/>
              </w:rPr>
              <w:t>Party</w:t>
            </w:r>
          </w:p>
        </w:tc>
        <w:tc>
          <w:tcPr>
            <w:tcW w:type="dxa" w:w="4680"/>
            <w:shd w:fill="171B1D"/>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jc w:val="left"/>
            </w:pPr>
            <w:r>
              <w:rPr>
                <w:rFonts w:ascii="Manrope" w:hAnsi="Manrope"/>
                <w:b/>
                <w:color w:val="FFFFFF"/>
                <w:sz w:val="19"/>
              </w:rPr>
              <w:t>Notice Address</w:t>
            </w:r>
          </w:p>
        </w:tc>
        <w:tc>
          <w:tcPr>
            <w:tcW w:type="dxa" w:w="3240"/>
            <w:shd w:fill="171B1D"/>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jc w:val="left"/>
            </w:pPr>
            <w:r>
              <w:rPr>
                <w:rFonts w:ascii="Manrope" w:hAnsi="Manrope"/>
                <w:b/>
                <w:color w:val="FFFFFF"/>
                <w:sz w:val="19"/>
              </w:rPr>
              <w:t>Notice Email</w:t>
            </w:r>
          </w:p>
        </w:tc>
      </w:tr>
      <w:tr>
        <w:trPr>
          <w:cantSplit w:val="true"/>
        </w:trPr>
        <w:tc>
          <w:tcPr>
            <w:tcW w:type="dxa" w:w="165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Pahatud</w:t>
            </w:r>
          </w:p>
        </w:tc>
        <w:tc>
          <w:tcPr>
            <w:tcW w:type="dxa" w:w="46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[PAHATUD NOTICE ADDRESS]</w:t>
            </w:r>
          </w:p>
        </w:tc>
        <w:tc>
          <w:tcPr>
            <w:tcW w:type="dxa" w:w="324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[PAHATUD NOTICE EMAIL]</w:t>
            </w:r>
          </w:p>
        </w:tc>
      </w:tr>
      <w:tr>
        <w:trPr>
          <w:cantSplit w:val="true"/>
        </w:trPr>
        <w:tc>
          <w:tcPr>
            <w:tcW w:type="dxa" w:w="165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Agent</w:t>
            </w:r>
          </w:p>
        </w:tc>
        <w:tc>
          <w:tcPr>
            <w:tcW w:type="dxa" w:w="46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[AGENT NOTICE ADDRESS]</w:t>
            </w:r>
          </w:p>
        </w:tc>
        <w:tc>
          <w:tcPr>
            <w:tcW w:type="dxa" w:w="324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[AGENT NOTICE EMAIL]</w:t>
            </w:r>
          </w:p>
        </w:tc>
      </w:tr>
    </w:tbl>
    <w:p>
      <w:pPr>
        <w:spacing w:after="0"/>
      </w:pPr>
    </w:p>
    <w:p>
      <w:pPr>
        <w:pStyle w:val="Heading1"/>
        <w:keepNext/>
      </w:pPr>
      <w:r>
        <w:t>18  Dispute Resolution and Governing Law</w:t>
      </w:r>
    </w:p>
    <w:p>
      <w:pPr>
        <w:widowControl/>
      </w:pPr>
      <w:r>
        <w:t>The Parties will first attempt in good faith to resolve a dispute through authorized representatives within thirty days after written notice describing the dispute. They may then agree to mediation. This clause does not prevent either Party from seeking urgent injunctive relief, reporting to a regulator, or using a remedy that cannot lawfully be waived.</w:t>
      </w:r>
    </w:p>
    <w:p>
      <w:pPr>
        <w:widowControl/>
      </w:pPr>
      <w:r>
        <w:t xml:space="preserve">Philippine law governs this Agreement, without regard to conflict-of-law rules. Subject to mandatory law and available administrative remedies, the courts of </w:t>
      </w:r>
      <w:r>
        <w:rPr>
          <w:b/>
          <w:color w:val="D92722"/>
          <w:shd w:val="clear" w:color="auto" w:fill="FFF0EE"/>
        </w:rPr>
        <w:t>[CITY OR PROVINCE]</w:t>
      </w:r>
      <w:r>
        <w:t xml:space="preserve"> have exclusive venue over court proceedings arising from this Agreement.</w:t>
      </w:r>
    </w:p>
    <w:p>
      <w:pPr>
        <w:pStyle w:val="Heading1"/>
        <w:keepNext/>
      </w:pPr>
      <w:r>
        <w:t>19  General Terms</w:t>
      </w:r>
    </w:p>
    <w:p>
      <w:pPr>
        <w:widowControl/>
      </w:pPr>
      <w:r>
        <w:t>Neither Party is liable for delay caused by events beyond reasonable control, except payment obligations already due. The affected Party will promptly notify the other and take reasonable steps to reduce the delay.</w:t>
      </w:r>
    </w:p>
    <w:p>
      <w:pPr>
        <w:widowControl/>
      </w:pPr>
      <w:r>
        <w:t>The Agent may not assign this Agreement without Pahatud’s prior written consent. Pahatud may assign it to an affiliate or in connection with a merger, reorganization, financing, or transfer of the relevant business after notice to the Agent.</w:t>
      </w:r>
    </w:p>
    <w:p>
      <w:pPr>
        <w:widowControl/>
      </w:pPr>
      <w:r>
        <w:t>This Agreement and its schedules are the entire agreement on their subject and replace prior discussions. An amendment or waiver must be in writing and signed by authorized representatives. Failure to enforce a term is not a waiver. If a term is unenforceable, it will be limited to the minimum extent necessary and the remainder will continue. Clauses intended by their nature to survive termination will survive. Electronic records and signatures may be used as permitted by Republic Act No. 8792 and applicable rules.</w:t>
      </w:r>
    </w:p>
    <w:p>
      <w:r>
        <w:br w:type="page"/>
      </w:r>
    </w:p>
    <w:p>
      <w:pPr>
        <w:pStyle w:val="Heading1"/>
      </w:pPr>
      <w:r>
        <w:t>Schedule A Services and Territory</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2880"/>
            <w:shd w:fill="EF3B35"/>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jc w:val="left"/>
            </w:pPr>
            <w:r>
              <w:rPr>
                <w:rFonts w:ascii="Manrope" w:hAnsi="Manrope"/>
                <w:b/>
                <w:color w:val="FFFFFF"/>
                <w:sz w:val="19"/>
              </w:rPr>
              <w:t>Item</w:t>
            </w:r>
          </w:p>
        </w:tc>
        <w:tc>
          <w:tcPr>
            <w:tcW w:type="dxa" w:w="6696"/>
            <w:shd w:fill="171B1D"/>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jc w:val="left"/>
            </w:pPr>
            <w:r>
              <w:rPr>
                <w:rFonts w:ascii="Manrope" w:hAnsi="Manrope"/>
                <w:b/>
                <w:color w:val="FFFFFF"/>
                <w:sz w:val="19"/>
              </w:rPr>
              <w:t>Agreed Terms</w:t>
            </w:r>
          </w:p>
        </w:tc>
      </w:tr>
      <w:tr>
        <w:trPr>
          <w:cantSplit w:val="true"/>
        </w:trPr>
        <w:tc>
          <w:tcPr>
            <w:tcW w:type="dxa" w:w="28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Services</w:t>
            </w:r>
          </w:p>
        </w:tc>
        <w:tc>
          <w:tcPr>
            <w:tcW w:type="dxa" w:w="66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[DESCRIBE PROSPECTING ONBOARDING TRAINING OR SUPPORT SERVICES]</w:t>
            </w:r>
          </w:p>
        </w:tc>
      </w:tr>
      <w:tr>
        <w:trPr>
          <w:cantSplit w:val="true"/>
        </w:trPr>
        <w:tc>
          <w:tcPr>
            <w:tcW w:type="dxa" w:w="28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Territory</w:t>
            </w:r>
          </w:p>
        </w:tc>
        <w:tc>
          <w:tcPr>
            <w:tcW w:type="dxa" w:w="66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[CITY PROVINCE REGION OR ONLINE CHANNELS]</w:t>
            </w:r>
          </w:p>
        </w:tc>
      </w:tr>
      <w:tr>
        <w:trPr>
          <w:cantSplit w:val="true"/>
        </w:trPr>
        <w:tc>
          <w:tcPr>
            <w:tcW w:type="dxa" w:w="28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Start Date</w:t>
            </w:r>
          </w:p>
        </w:tc>
        <w:tc>
          <w:tcPr>
            <w:tcW w:type="dxa" w:w="66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[DATE]</w:t>
            </w:r>
          </w:p>
        </w:tc>
      </w:tr>
      <w:tr>
        <w:trPr>
          <w:cantSplit w:val="true"/>
        </w:trPr>
        <w:tc>
          <w:tcPr>
            <w:tcW w:type="dxa" w:w="28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Performance Deliverables</w:t>
            </w:r>
          </w:p>
        </w:tc>
        <w:tc>
          <w:tcPr>
            <w:tcW w:type="dxa" w:w="66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[RESULTS AND REPORTS WITHOUT FIXED HOURS OR METHOD CONTROL]</w:t>
            </w:r>
          </w:p>
        </w:tc>
      </w:tr>
      <w:tr>
        <w:trPr>
          <w:cantSplit w:val="true"/>
        </w:trPr>
        <w:tc>
          <w:tcPr>
            <w:tcW w:type="dxa" w:w="28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Approved Contact Channels</w:t>
            </w:r>
          </w:p>
        </w:tc>
        <w:tc>
          <w:tcPr>
            <w:tcW w:type="dxa" w:w="66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[CRM EMAIL APP OR OTHER APPROVED SYSTEM]</w:t>
            </w:r>
          </w:p>
        </w:tc>
      </w:tr>
      <w:tr>
        <w:trPr>
          <w:cantSplit w:val="true"/>
        </w:trPr>
        <w:tc>
          <w:tcPr>
            <w:tcW w:type="dxa" w:w="28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Pahatud Representative</w:t>
            </w:r>
          </w:p>
        </w:tc>
        <w:tc>
          <w:tcPr>
            <w:tcW w:type="dxa" w:w="66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[NAME TITLE AND CONTACT DETAILS]</w:t>
            </w:r>
          </w:p>
        </w:tc>
      </w:tr>
    </w:tbl>
    <w:p>
      <w:pPr>
        <w:spacing w:after="0"/>
      </w:pPr>
    </w:p>
    <w:p>
      <w:pPr>
        <w:pStyle w:val="Heading1"/>
      </w:pPr>
      <w:r>
        <w:t>Schedule B Commission Plan</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2880"/>
            <w:shd w:fill="EF3B35"/>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jc w:val="left"/>
            </w:pPr>
            <w:r>
              <w:rPr>
                <w:rFonts w:ascii="Manrope" w:hAnsi="Manrope"/>
                <w:b/>
                <w:color w:val="FFFFFF"/>
                <w:sz w:val="19"/>
              </w:rPr>
              <w:t>Commercial Item</w:t>
            </w:r>
          </w:p>
        </w:tc>
        <w:tc>
          <w:tcPr>
            <w:tcW w:type="dxa" w:w="6696"/>
            <w:shd w:fill="171B1D"/>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jc w:val="left"/>
            </w:pPr>
            <w:r>
              <w:rPr>
                <w:rFonts w:ascii="Manrope" w:hAnsi="Manrope"/>
                <w:b/>
                <w:color w:val="FFFFFF"/>
                <w:sz w:val="19"/>
              </w:rPr>
              <w:t>Agreed Terms</w:t>
            </w:r>
          </w:p>
        </w:tc>
      </w:tr>
      <w:tr>
        <w:trPr>
          <w:cantSplit w:val="true"/>
        </w:trPr>
        <w:tc>
          <w:tcPr>
            <w:tcW w:type="dxa" w:w="28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Qualified Merchant</w:t>
            </w:r>
          </w:p>
        </w:tc>
        <w:tc>
          <w:tcPr>
            <w:tcW w:type="dxa" w:w="66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[OBJECTIVE ELIGIBILITY AND ATTRIBUTION CONDITIONS]</w:t>
            </w:r>
          </w:p>
        </w:tc>
      </w:tr>
      <w:tr>
        <w:trPr>
          <w:cantSplit w:val="true"/>
        </w:trPr>
        <w:tc>
          <w:tcPr>
            <w:tcW w:type="dxa" w:w="28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Earning Trigger</w:t>
            </w:r>
          </w:p>
        </w:tc>
        <w:tc>
          <w:tcPr>
            <w:tcW w:type="dxa" w:w="66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[FOR EXAMPLE APPROVAL PLUS FIRST COMPLETED PAID ORDER]</w:t>
            </w:r>
          </w:p>
        </w:tc>
      </w:tr>
      <w:tr>
        <w:trPr>
          <w:cantSplit w:val="true"/>
        </w:trPr>
        <w:tc>
          <w:tcPr>
            <w:tcW w:type="dxa" w:w="28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Commission</w:t>
            </w:r>
          </w:p>
        </w:tc>
        <w:tc>
          <w:tcPr>
            <w:tcW w:type="dxa" w:w="66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[FIXED AMOUNT PERCENTAGE TIERS OR FORMULA]</w:t>
            </w:r>
          </w:p>
        </w:tc>
      </w:tr>
      <w:tr>
        <w:trPr>
          <w:cantSplit w:val="true"/>
        </w:trPr>
        <w:tc>
          <w:tcPr>
            <w:tcW w:type="dxa" w:w="28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Payment Cycle</w:t>
            </w:r>
          </w:p>
        </w:tc>
        <w:tc>
          <w:tcPr>
            <w:tcW w:type="dxa" w:w="66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[FOR EXAMPLE MONTHLY WITHIN NUMBER OF DAYS AFTER MONTH END]</w:t>
            </w:r>
          </w:p>
        </w:tc>
      </w:tr>
      <w:tr>
        <w:trPr>
          <w:cantSplit w:val="true"/>
        </w:trPr>
        <w:tc>
          <w:tcPr>
            <w:tcW w:type="dxa" w:w="28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Dispute Window</w:t>
            </w:r>
          </w:p>
        </w:tc>
        <w:tc>
          <w:tcPr>
            <w:tcW w:type="dxa" w:w="66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[NUMBER OF DAYS AFTER COMMISSION STATEMENT]</w:t>
            </w:r>
          </w:p>
        </w:tc>
      </w:tr>
      <w:tr>
        <w:trPr>
          <w:cantSplit w:val="true"/>
        </w:trPr>
        <w:tc>
          <w:tcPr>
            <w:tcW w:type="dxa" w:w="28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Clawback Window</w:t>
            </w:r>
          </w:p>
        </w:tc>
        <w:tc>
          <w:tcPr>
            <w:tcW w:type="dxa" w:w="66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[NUMBER OF DAYS AND EVENTS SUCH AS FRAUD REFUND OR DUPLICATE LEAD]</w:t>
            </w:r>
          </w:p>
        </w:tc>
      </w:tr>
      <w:tr>
        <w:trPr>
          <w:cantSplit w:val="true"/>
        </w:trPr>
        <w:tc>
          <w:tcPr>
            <w:tcW w:type="dxa" w:w="28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Approved Expenses</w:t>
            </w:r>
          </w:p>
        </w:tc>
        <w:tc>
          <w:tcPr>
            <w:tcW w:type="dxa" w:w="66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[NONE OR SPECIFIC PREAPPROVED ITEMS AND LIMITS]</w:t>
            </w:r>
          </w:p>
        </w:tc>
      </w:tr>
      <w:tr>
        <w:trPr>
          <w:cantSplit w:val="true"/>
        </w:trPr>
        <w:tc>
          <w:tcPr>
            <w:tcW w:type="dxa" w:w="28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Tax Documents</w:t>
            </w:r>
          </w:p>
        </w:tc>
        <w:tc>
          <w:tcPr>
            <w:tcW w:type="dxa" w:w="66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[INVOICE SWORN DECLARATION BIR FORM OR OTHER REQUIREMENTS]</w:t>
            </w:r>
          </w:p>
        </w:tc>
      </w:tr>
    </w:tbl>
    <w:p>
      <w:pPr>
        <w:spacing w:after="0"/>
      </w:pPr>
    </w:p>
    <w:p>
      <w:pPr>
        <w:widowControl/>
      </w:pPr>
      <w:r>
        <w:t>Pahatud may update this Schedule prospectively by a written amendment accepted by the Agent. No change will reduce a commission already earned under the version in effect when its earning trigger occurred.</w:t>
      </w:r>
    </w:p>
    <w:p>
      <w:pPr>
        <w:pStyle w:val="Heading1"/>
      </w:pPr>
      <w:r>
        <w:t>Schedule C Authorized Personal Data Processing</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2880"/>
            <w:shd w:fill="EF3B35"/>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jc w:val="left"/>
            </w:pPr>
            <w:r>
              <w:rPr>
                <w:rFonts w:ascii="Manrope" w:hAnsi="Manrope"/>
                <w:b/>
                <w:color w:val="FFFFFF"/>
                <w:sz w:val="19"/>
              </w:rPr>
              <w:t>Processing Detail</w:t>
            </w:r>
          </w:p>
        </w:tc>
        <w:tc>
          <w:tcPr>
            <w:tcW w:type="dxa" w:w="6696"/>
            <w:shd w:fill="171B1D"/>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jc w:val="left"/>
            </w:pPr>
            <w:r>
              <w:rPr>
                <w:rFonts w:ascii="Manrope" w:hAnsi="Manrope"/>
                <w:b/>
                <w:color w:val="FFFFFF"/>
                <w:sz w:val="19"/>
              </w:rPr>
              <w:t>Authorized Scope</w:t>
            </w:r>
          </w:p>
        </w:tc>
      </w:tr>
      <w:tr>
        <w:trPr>
          <w:cantSplit w:val="true"/>
        </w:trPr>
        <w:tc>
          <w:tcPr>
            <w:tcW w:type="dxa" w:w="28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Data Subjects</w:t>
            </w:r>
          </w:p>
        </w:tc>
        <w:tc>
          <w:tcPr>
            <w:tcW w:type="dxa" w:w="66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[PROSPECTIVE MERCHANT OWNERS REPRESENTATIVES AND STAFF]</w:t>
            </w:r>
          </w:p>
        </w:tc>
      </w:tr>
      <w:tr>
        <w:trPr>
          <w:cantSplit w:val="true"/>
        </w:trPr>
        <w:tc>
          <w:tcPr>
            <w:tcW w:type="dxa" w:w="28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Data Categories</w:t>
            </w:r>
          </w:p>
        </w:tc>
        <w:tc>
          <w:tcPr>
            <w:tcW w:type="dxa" w:w="66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[NAME BUSINESS CONTACT DETAILS REGISTRATION DOCUMENTS AND REQUIRED ONBOARDING DATA]</w:t>
            </w:r>
          </w:p>
        </w:tc>
      </w:tr>
      <w:tr>
        <w:trPr>
          <w:cantSplit w:val="true"/>
        </w:trPr>
        <w:tc>
          <w:tcPr>
            <w:tcW w:type="dxa" w:w="28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Purpose</w:t>
            </w:r>
          </w:p>
        </w:tc>
        <w:tc>
          <w:tcPr>
            <w:tcW w:type="dxa" w:w="66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[MERCHANT DUE DILIGENCE ONBOARDING SUPPORT AND RELATIONSHIP MANAGEMENT]</w:t>
            </w:r>
          </w:p>
        </w:tc>
      </w:tr>
      <w:tr>
        <w:trPr>
          <w:cantSplit w:val="true"/>
        </w:trPr>
        <w:tc>
          <w:tcPr>
            <w:tcW w:type="dxa" w:w="28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Processing</w:t>
            </w:r>
          </w:p>
        </w:tc>
        <w:tc>
          <w:tcPr>
            <w:tcW w:type="dxa" w:w="66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[COLLECTION ENTRY TRANSMISSION CORRECTION AND SECURE DELETION]</w:t>
            </w:r>
          </w:p>
        </w:tc>
      </w:tr>
      <w:tr>
        <w:trPr>
          <w:cantSplit w:val="true"/>
        </w:trPr>
        <w:tc>
          <w:tcPr>
            <w:tcW w:type="dxa" w:w="28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Approved Systems</w:t>
            </w:r>
          </w:p>
        </w:tc>
        <w:tc>
          <w:tcPr>
            <w:tcW w:type="dxa" w:w="66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[PAHATUD CRM APP PORTAL OR SECURE EMAIL]</w:t>
            </w:r>
          </w:p>
        </w:tc>
      </w:tr>
      <w:tr>
        <w:trPr>
          <w:cantSplit w:val="true"/>
        </w:trPr>
        <w:tc>
          <w:tcPr>
            <w:tcW w:type="dxa" w:w="28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Retention</w:t>
            </w:r>
          </w:p>
        </w:tc>
        <w:tc>
          <w:tcPr>
            <w:tcW w:type="dxa" w:w="66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[DELETE LOCAL COPIES IMMEDIATELY AFTER VERIFIED TRANSFER OR SPECIFIED PERIOD]</w:t>
            </w:r>
          </w:p>
        </w:tc>
      </w:tr>
      <w:tr>
        <w:trPr>
          <w:cantSplit w:val="true"/>
        </w:trPr>
        <w:tc>
          <w:tcPr>
            <w:tcW w:type="dxa" w:w="28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Subprocessors</w:t>
            </w:r>
          </w:p>
        </w:tc>
        <w:tc>
          <w:tcPr>
            <w:tcW w:type="dxa" w:w="66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[NONE UNLESS APPROVED IN WRITING]</w:t>
            </w:r>
          </w:p>
        </w:tc>
      </w:tr>
    </w:tbl>
    <w:p>
      <w:pPr>
        <w:spacing w:after="0"/>
      </w:pPr>
    </w:p>
    <w:p>
      <w:r>
        <w:br w:type="page"/>
      </w:r>
    </w:p>
    <w:p>
      <w:pPr>
        <w:pStyle w:val="Heading1"/>
      </w:pPr>
      <w:r>
        <w:t>Signatures</w:t>
      </w:r>
    </w:p>
    <w:p>
      <w:pPr>
        <w:widowControl/>
      </w:pPr>
      <w:r>
        <w:t>Each signatory states that they are authorized to sign this Agreement. The Parties may sign counterparts and may use electronic signatures to the extent permitted by Philippine law.</w:t>
      </w:r>
    </w:p>
    <w:tbl>
      <w:tblPr>
        <w:tblW w:type="auto" w:w="0"/>
        <w:jc w:val="center"/>
        <w:tblLayout w:type="fixed"/>
        <w:tblLook w:firstColumn="1" w:firstRow="1" w:lastColumn="0" w:lastRow="0" w:noHBand="0" w:noVBand="1" w:val="04A0"/>
      </w:tblPr>
      <w:tblGrid>
        <w:gridCol w:w="4939"/>
        <w:gridCol w:w="4939"/>
      </w:tblGrid>
      <w:tr>
        <w:tc>
          <w:tcPr>
            <w:tcW w:type="dxa" w:w="4680"/>
            <w:tcMar>
              <w:top w:w="80" w:type="dxa"/>
              <w:start w:w="80" w:type="dxa"/>
              <w:bottom w:w="80" w:type="dxa"/>
              <w:end w:w="80" w:type="dxa"/>
            </w:tcMar>
          </w:tcPr>
          <w:p>
            <w:pPr>
              <w:spacing w:after="100"/>
            </w:pPr>
            <w:r>
              <w:rPr>
                <w:b/>
              </w:rPr>
              <w:t>PAHATUD</w:t>
            </w:r>
          </w:p>
          <w:p>
            <w:pPr>
              <w:spacing w:after="100"/>
            </w:pPr>
            <w:r>
              <w:br/>
              <w:t>__________________________________</w:t>
            </w:r>
          </w:p>
          <w:p>
            <w:pPr>
              <w:spacing w:after="100"/>
            </w:pPr>
            <w:r>
              <w:t xml:space="preserve">Name  </w:t>
            </w:r>
            <w:r>
              <w:rPr>
                <w:b/>
                <w:color w:val="D92722"/>
                <w:shd w:val="clear" w:color="auto" w:fill="FFF0EE"/>
              </w:rPr>
              <w:t>[NAME]</w:t>
            </w:r>
          </w:p>
          <w:p>
            <w:pPr>
              <w:spacing w:after="100"/>
            </w:pPr>
            <w:r>
              <w:t xml:space="preserve">Title  </w:t>
            </w:r>
            <w:r>
              <w:rPr>
                <w:b/>
                <w:color w:val="D92722"/>
                <w:shd w:val="clear" w:color="auto" w:fill="FFF0EE"/>
              </w:rPr>
              <w:t>[TITLE]</w:t>
            </w:r>
          </w:p>
          <w:p>
            <w:pPr>
              <w:spacing w:after="100"/>
            </w:pPr>
            <w:r>
              <w:t xml:space="preserve">Date  </w:t>
            </w:r>
            <w:r>
              <w:rPr>
                <w:b/>
                <w:color w:val="D92722"/>
                <w:shd w:val="clear" w:color="auto" w:fill="FFF0EE"/>
              </w:rPr>
              <w:t>[DATE]</w:t>
            </w:r>
          </w:p>
        </w:tc>
        <w:tc>
          <w:tcPr>
            <w:tcW w:type="dxa" w:w="4680"/>
            <w:tcMar>
              <w:top w:w="80" w:type="dxa"/>
              <w:start w:w="80" w:type="dxa"/>
              <w:bottom w:w="80" w:type="dxa"/>
              <w:end w:w="80" w:type="dxa"/>
            </w:tcMar>
          </w:tcPr>
          <w:p>
            <w:pPr>
              <w:spacing w:after="100"/>
            </w:pPr>
            <w:r>
              <w:rPr>
                <w:b/>
              </w:rPr>
              <w:t>AGENT</w:t>
            </w:r>
          </w:p>
          <w:p>
            <w:pPr>
              <w:spacing w:after="100"/>
            </w:pPr>
            <w:r>
              <w:br/>
              <w:t>__________________________________</w:t>
            </w:r>
          </w:p>
          <w:p>
            <w:pPr>
              <w:spacing w:after="100"/>
            </w:pPr>
            <w:r>
              <w:t xml:space="preserve">Name  </w:t>
            </w:r>
            <w:r>
              <w:rPr>
                <w:b/>
                <w:color w:val="D92722"/>
                <w:shd w:val="clear" w:color="auto" w:fill="FFF0EE"/>
              </w:rPr>
              <w:t>[NAME]</w:t>
            </w:r>
          </w:p>
          <w:p>
            <w:pPr>
              <w:spacing w:after="100"/>
            </w:pPr>
            <w:r>
              <w:t xml:space="preserve">Title  </w:t>
            </w:r>
            <w:r>
              <w:rPr>
                <w:b/>
                <w:color w:val="D92722"/>
                <w:shd w:val="clear" w:color="auto" w:fill="FFF0EE"/>
              </w:rPr>
              <w:t>[TITLE]</w:t>
            </w:r>
          </w:p>
          <w:p>
            <w:pPr>
              <w:spacing w:after="100"/>
            </w:pPr>
            <w:r>
              <w:t xml:space="preserve">Date  </w:t>
            </w:r>
            <w:r>
              <w:rPr>
                <w:b/>
                <w:color w:val="D92722"/>
                <w:shd w:val="clear" w:color="auto" w:fill="FFF0EE"/>
              </w:rPr>
              <w:t>[DATE]</w:t>
            </w:r>
          </w:p>
        </w:tc>
      </w:tr>
    </w:tbl>
    <w:p/>
    <w:p>
      <w:pPr>
        <w:jc w:val="center"/>
      </w:pPr>
      <w:r>
        <w:t>Signed in the presence of</w:t>
      </w:r>
    </w:p>
    <w:tbl>
      <w:tblPr>
        <w:tblW w:type="auto" w:w="0"/>
        <w:jc w:val="center"/>
        <w:tblLook w:firstColumn="1" w:firstRow="1" w:lastColumn="0" w:lastRow="0" w:noHBand="0" w:noVBand="1" w:val="04A0"/>
      </w:tblPr>
      <w:tblGrid>
        <w:gridCol w:w="4939"/>
        <w:gridCol w:w="4939"/>
      </w:tblGrid>
      <w:tr>
        <w:tc>
          <w:tcPr>
            <w:tcW w:type="dxa" w:w="4939"/>
            <w:tcMar>
              <w:top w:w="80" w:type="dxa"/>
              <w:start w:w="80" w:type="dxa"/>
              <w:bottom w:w="80" w:type="dxa"/>
              <w:end w:w="80" w:type="dxa"/>
            </w:tcMar>
          </w:tcPr>
          <w:p>
            <w:pPr>
              <w:jc w:val="center"/>
            </w:pPr>
            <w:r>
              <w:br/>
              <w:t>__________________________________</w:t>
              <w:br/>
              <w:t>Witness</w:t>
            </w:r>
          </w:p>
        </w:tc>
        <w:tc>
          <w:tcPr>
            <w:tcW w:type="dxa" w:w="4939"/>
            <w:tcMar>
              <w:top w:w="80" w:type="dxa"/>
              <w:start w:w="80" w:type="dxa"/>
              <w:bottom w:w="80" w:type="dxa"/>
              <w:end w:w="80" w:type="dxa"/>
            </w:tcMar>
          </w:tcPr>
          <w:p>
            <w:pPr>
              <w:jc w:val="center"/>
            </w:pPr>
            <w:r>
              <w:br/>
              <w:t>__________________________________</w:t>
              <w:br/>
              <w:t>Witness</w:t>
            </w:r>
          </w:p>
        </w:tc>
      </w:tr>
    </w:tbl>
    <w:p>
      <w:r>
        <w:br w:type="page"/>
      </w:r>
    </w:p>
    <w:p>
      <w:pPr>
        <w:pStyle w:val="Heading1"/>
      </w:pPr>
      <w:r>
        <w:t>Acknowledgment</w:t>
      </w:r>
    </w:p>
    <w:p>
      <w:pPr>
        <w:widowControl/>
      </w:pPr>
      <w:r>
        <w:t>REPUBLIC OF THE PHILIPPINES</w:t>
      </w:r>
    </w:p>
    <w:p>
      <w:pPr>
        <w:widowControl/>
      </w:pPr>
      <w:r>
        <w:t xml:space="preserve">CITY OR MUNICIPALITY OF </w:t>
      </w:r>
      <w:r>
        <w:rPr>
          <w:b/>
          <w:color w:val="D92722"/>
          <w:shd w:val="clear" w:color="auto" w:fill="FFF0EE"/>
        </w:rPr>
        <w:t>[PLACE]</w:t>
      </w:r>
      <w:r>
        <w:t xml:space="preserve">  ) S.S.</w:t>
      </w:r>
    </w:p>
    <w:p>
      <w:pPr>
        <w:widowControl/>
      </w:pPr>
      <w:r>
        <w:t xml:space="preserve">BEFORE ME, a Notary Public for and in </w:t>
      </w:r>
      <w:r>
        <w:rPr>
          <w:b/>
          <w:color w:val="D92722"/>
          <w:shd w:val="clear" w:color="auto" w:fill="FFF0EE"/>
        </w:rPr>
        <w:t>[PLACE]</w:t>
      </w:r>
      <w:r>
        <w:t xml:space="preserve">, this </w:t>
      </w:r>
      <w:r>
        <w:rPr>
          <w:b/>
          <w:color w:val="D92722"/>
          <w:shd w:val="clear" w:color="auto" w:fill="FFF0EE"/>
        </w:rPr>
        <w:t>[DATE]</w:t>
      </w:r>
      <w:r>
        <w:t>, personally appeared the following persons: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952"/>
            <w:shd w:fill="EF3B35"/>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jc w:val="left"/>
            </w:pPr>
            <w:r>
              <w:rPr>
                <w:rFonts w:ascii="Manrope" w:hAnsi="Manrope"/>
                <w:b/>
                <w:color w:val="FFFFFF"/>
                <w:sz w:val="19"/>
              </w:rPr>
              <w:t>Name</w:t>
            </w:r>
          </w:p>
        </w:tc>
        <w:tc>
          <w:tcPr>
            <w:tcW w:type="dxa" w:w="3312"/>
            <w:shd w:fill="171B1D"/>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jc w:val="left"/>
            </w:pPr>
            <w:r>
              <w:rPr>
                <w:rFonts w:ascii="Manrope" w:hAnsi="Manrope"/>
                <w:b/>
                <w:color w:val="FFFFFF"/>
                <w:sz w:val="19"/>
              </w:rPr>
              <w:t>Government Identification</w:t>
            </w:r>
          </w:p>
        </w:tc>
        <w:tc>
          <w:tcPr>
            <w:tcW w:type="dxa" w:w="3240"/>
            <w:shd w:fill="171B1D"/>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jc w:val="left"/>
            </w:pPr>
            <w:r>
              <w:rPr>
                <w:rFonts w:ascii="Manrope" w:hAnsi="Manrope"/>
                <w:b/>
                <w:color w:val="FFFFFF"/>
                <w:sz w:val="19"/>
              </w:rPr>
              <w:t>Date and Place Issued</w:t>
            </w:r>
          </w:p>
        </w:tc>
      </w:tr>
      <w:tr>
        <w:trPr>
          <w:cantSplit w:val="true"/>
        </w:trPr>
        <w:tc>
          <w:tcPr>
            <w:tcW w:type="dxa" w:w="2952"/>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[PAHATUD SIGNATORY]</w:t>
            </w:r>
          </w:p>
        </w:tc>
        <w:tc>
          <w:tcPr>
            <w:tcW w:type="dxa" w:w="3312"/>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[ID TYPE AND NUMBER]</w:t>
            </w:r>
          </w:p>
        </w:tc>
        <w:tc>
          <w:tcPr>
            <w:tcW w:type="dxa" w:w="324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[DATE AND PLACE]</w:t>
            </w:r>
          </w:p>
        </w:tc>
      </w:tr>
      <w:tr>
        <w:trPr>
          <w:cantSplit w:val="true"/>
        </w:trPr>
        <w:tc>
          <w:tcPr>
            <w:tcW w:type="dxa" w:w="2952"/>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[AGENT SIGNATORY]</w:t>
            </w:r>
          </w:p>
        </w:tc>
        <w:tc>
          <w:tcPr>
            <w:tcW w:type="dxa" w:w="3312"/>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[ID TYPE AND NUMBER]</w:t>
            </w:r>
          </w:p>
        </w:tc>
        <w:tc>
          <w:tcPr>
            <w:tcW w:type="dxa" w:w="324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[DATE AND PLACE]</w:t>
            </w:r>
          </w:p>
        </w:tc>
      </w:tr>
    </w:tbl>
    <w:p>
      <w:pPr>
        <w:spacing w:after="0"/>
      </w:pPr>
    </w:p>
    <w:p>
      <w:pPr>
        <w:widowControl/>
      </w:pPr>
      <w:r>
        <w:t>They are known to me or identified by the competent evidence of identity stated above and acknowledged that they signed this Agreement voluntarily and, when applicable, for the entities they represent.</w:t>
      </w:r>
    </w:p>
    <w:p>
      <w:pPr>
        <w:widowControl/>
      </w:pPr>
      <w:r>
        <w:t>WITNESS MY HAND AND NOTARIAL SEAL on the date and at the place stated above.</w:t>
      </w:r>
    </w:p>
    <w:p>
      <w:pPr>
        <w:widowControl/>
      </w:pPr>
      <w:r>
        <w:br/>
        <w:t>__________________________________</w:t>
        <w:br/>
        <w:t>Notary Public</w:t>
      </w:r>
    </w:p>
    <w:p>
      <w:pPr>
        <w:widowControl/>
      </w:pPr>
      <w:r>
        <w:t xml:space="preserve">Doc. No. </w:t>
      </w:r>
      <w:r>
        <w:rPr>
          <w:b/>
          <w:color w:val="D92722"/>
          <w:shd w:val="clear" w:color="auto" w:fill="FFF0EE"/>
        </w:rPr>
        <w:t>[NUMBER]</w:t>
      </w:r>
      <w:r>
        <w:br/>
        <w:t xml:space="preserve">Page No. </w:t>
      </w:r>
      <w:r>
        <w:rPr>
          <w:b/>
          <w:color w:val="D92722"/>
          <w:shd w:val="clear" w:color="auto" w:fill="FFF0EE"/>
        </w:rPr>
        <w:t>[NUMBER]</w:t>
      </w:r>
      <w:r>
        <w:br/>
        <w:t xml:space="preserve">Book No. </w:t>
      </w:r>
      <w:r>
        <w:rPr>
          <w:b/>
          <w:color w:val="D92722"/>
          <w:shd w:val="clear" w:color="auto" w:fill="FFF0EE"/>
        </w:rPr>
        <w:t>[NUMBER]</w:t>
      </w:r>
      <w:r>
        <w:br/>
        <w:t xml:space="preserve">Series of </w:t>
      </w:r>
      <w:r>
        <w:rPr>
          <w:b/>
          <w:color w:val="D92722"/>
          <w:shd w:val="clear" w:color="auto" w:fill="FFF0EE"/>
        </w:rPr>
        <w:t>[YEAR]</w:t>
      </w:r>
    </w:p>
    <w:sectPr w:rsidR="00FC693F" w:rsidRPr="0006063C" w:rsidSect="00034616">
      <w:headerReference w:type="default" r:id="rId9"/>
      <w:footerReference w:type="default" r:id="rId11"/>
      <w:pgSz w:w="12240" w:h="15840"/>
      <w:pgMar w:top="835" w:right="1181" w:bottom="979" w:left="1181"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DM Sans" w:hAnsi="DM Sans"/>
      <w:color w:val="171B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Manrope" w:hAnsi="Manrope"/>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Manrope" w:hAnsi="Manrope"/>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Manrope" w:hAnsi="Manrope"/>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jc w:val="center"/>
    </w:pPr>
    <w:rPr>
      <w:rFonts w:asciiTheme="majorHAnsi" w:eastAsiaTheme="majorEastAsia" w:hAnsiTheme="majorHAnsi" w:cstheme="majorBidi" w:ascii="Manrope" w:hAnsi="Manrope"/>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Note">
    <w:name w:val="Contract Note"/>
    <w:pPr>
      <w:spacing w:after="160"/>
    </w:pPr>
    <w:rPr>
      <w:rFonts w:ascii="DM Sans" w:hAnsi="DM Sans"/>
      <w:i/>
      <w:color w:val="6A737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