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603504" cy="603504"/>
            <wp:docPr id="1" name="Picture 1" descr="Pahatud logo"/>
            <wp:cNvGraphicFramePr>
              <a:graphicFrameLocks noChangeAspect="1"/>
            </wp:cNvGraphicFramePr>
            <a:graphic>
              <a:graphicData uri="http://schemas.openxmlformats.org/drawingml/2006/picture">
                <pic:pic>
                  <pic:nvPicPr>
                    <pic:cNvPr id="0" name="codex-clipboard-e9489e01-1c56-4bf2-ab25-ee538584d3a2.png"/>
                    <pic:cNvPicPr/>
                  </pic:nvPicPr>
                  <pic:blipFill>
                    <a:blip r:embed="rId10"/>
                    <a:stretch>
                      <a:fillRect/>
                    </a:stretch>
                  </pic:blipFill>
                  <pic:spPr>
                    <a:xfrm>
                      <a:off x="0" y="0"/>
                      <a:ext cx="603504" cy="603504"/>
                    </a:xfrm>
                    <a:prstGeom prst="rect"/>
                  </pic:spPr>
                </pic:pic>
              </a:graphicData>
            </a:graphic>
          </wp:inline>
        </w:drawing>
      </w:r>
    </w:p>
    <w:p>
      <w:pPr>
        <w:pStyle w:val="Title"/>
        <w:pBdr>
          <w:top w:val="nil"/>
          <w:left w:val="nil"/>
          <w:bottom w:val="nil"/>
          <w:right w:val="nil"/>
          <w:between w:val="nil"/>
          <w:bar w:val="nil"/>
        </w:pBdr>
      </w:pPr>
      <w:r>
        <w:t>Merchant Marketplace Participation Agreement</w:t>
      </w:r>
    </w:p>
    <w:p>
      <w:pPr>
        <w:pStyle w:val="ContractNote"/>
        <w:jc w:val="center"/>
      </w:pPr>
      <w:r>
        <w:t>Draft for Philippine legal review. Complete every highlighted field and remove this note before signature.</w:t>
      </w:r>
    </w:p>
    <w:p>
      <w:pPr>
        <w:widowControl/>
      </w:pPr>
      <w:r>
        <w:t xml:space="preserve">This Merchant Marketplace Participation Agreement is made effective on </w:t>
      </w:r>
      <w:r>
        <w:rPr>
          <w:b/>
          <w:color w:val="D92722"/>
          <w:shd w:val="clear" w:color="auto" w:fill="FFF0EE"/>
        </w:rPr>
        <w:t>[EFFECTIVE DATE]</w:t>
      </w:r>
      <w:r>
        <w:t xml:space="preserve"> by and between </w:t>
      </w:r>
      <w:r>
        <w:rPr>
          <w:b/>
          <w:color w:val="D92722"/>
          <w:shd w:val="clear" w:color="auto" w:fill="FFF0EE"/>
        </w:rPr>
        <w:t>[PAHATUD LEGAL ENTITY NAME]</w:t>
      </w:r>
      <w:r>
        <w:t xml:space="preserve">, a </w:t>
      </w:r>
      <w:r>
        <w:rPr>
          <w:b/>
          <w:color w:val="D92722"/>
          <w:shd w:val="clear" w:color="auto" w:fill="FFF0EE"/>
        </w:rPr>
        <w:t>[ENTITY TYPE AND JURISDICTION]</w:t>
      </w:r>
      <w:r>
        <w:t xml:space="preserve"> with principal office at </w:t>
      </w:r>
      <w:r>
        <w:rPr>
          <w:b/>
          <w:color w:val="D92722"/>
          <w:shd w:val="clear" w:color="auto" w:fill="FFF0EE"/>
        </w:rPr>
        <w:t>[PAHATUD ADDRESS]</w:t>
      </w:r>
      <w:r>
        <w:t xml:space="preserve"> (Pahatud), and </w:t>
      </w:r>
      <w:r>
        <w:rPr>
          <w:b/>
          <w:color w:val="D92722"/>
          <w:shd w:val="clear" w:color="auto" w:fill="FFF0EE"/>
        </w:rPr>
        <w:t>[merchant LEGAL NAME]</w:t>
      </w:r>
      <w:r>
        <w:t xml:space="preserve">, a </w:t>
      </w:r>
      <w:r>
        <w:rPr>
          <w:b/>
          <w:color w:val="D92722"/>
          <w:shd w:val="clear" w:color="auto" w:fill="FFF0EE"/>
        </w:rPr>
        <w:t>[INDIVIDUAL OR ENTITY TYPE]</w:t>
      </w:r>
      <w:r>
        <w:t xml:space="preserve"> with address at </w:t>
      </w:r>
      <w:r>
        <w:rPr>
          <w:b/>
          <w:color w:val="D92722"/>
          <w:shd w:val="clear" w:color="auto" w:fill="FFF0EE"/>
        </w:rPr>
        <w:t>[merchant ADDRESS]</w:t>
      </w:r>
      <w:r>
        <w:t xml:space="preserve"> (Merchant). Pahatud and the Merchant are each a Party and together the Parties.</w:t>
      </w:r>
    </w:p>
    <w:p>
      <w:pPr>
        <w:widowControl/>
      </w:pPr>
      <w:r>
        <w:t>The Parties agree that the schedules form part of this Agreement. If a schedule conflicts with the main terms, the main terms control unless the schedule expressly identifies the clause it replaces.</w:t>
      </w:r>
    </w:p>
    <w:p>
      <w:pPr>
        <w:pStyle w:val="Heading1"/>
        <w:keepNext/>
      </w:pPr>
      <w:r>
        <w:t>1  Purpose and Platform Relationship</w:t>
      </w:r>
    </w:p>
    <w:p>
      <w:pPr>
        <w:widowControl/>
      </w:pPr>
      <w:r>
        <w:t>Pahatud operates a digital marketplace that may support merchant listings, coupons and vouchers, bookings, restaurant and flower orders, cart and checkout, payment facilitation, customer support, and delivery coordination. The Merchant appoints Pahatud on a non-exclusive basis to display the Merchant’s offers, transmit customer orders or bookings, facilitate platform payments, and provide the services selected in Schedule B.</w:t>
      </w:r>
    </w:p>
    <w:p>
      <w:pPr>
        <w:widowControl/>
      </w:pPr>
      <w:r>
        <w:t>Unless a listing expressly states otherwise, the Merchant is the seller or service provider of record and is primarily responsible for its goods, services, warranties, invoices, legal compliance, and obligations to customers. Pahatud is not the manufacturer, owner, or supplier of Merchant goods and does not guarantee customer demand.</w:t>
      </w:r>
    </w:p>
    <w:p>
      <w:pPr>
        <w:pStyle w:val="Heading1"/>
        <w:keepNext/>
      </w:pPr>
      <w:r>
        <w:t>2  Definitions</w:t>
      </w:r>
    </w:p>
    <w:p>
      <w:pPr>
        <w:widowControl/>
      </w:pPr>
      <w:r>
        <w:t>Customer means a person who views, orders, books, purchases, receives, or redeems a Merchant Offer through the Platform. Merchant Offer means any product, service, menu item, booking, coupon, voucher, promotion, or related content submitted by the Merchant. Order includes a purchase, reservation, booking, or voucher issuance as applicable. Platform means the Pahatud websites, applications, dashboards, APIs, and related services. Personal Data has the meaning given by applicable Philippine privacy law.</w:t>
      </w:r>
    </w:p>
    <w:p>
      <w:pPr>
        <w:pStyle w:val="Heading1"/>
        <w:keepNext/>
      </w:pPr>
      <w:r>
        <w:t>3  Merchant Verification and Account</w:t>
      </w:r>
    </w:p>
    <w:p>
      <w:pPr>
        <w:ind w:left="403" w:hanging="403"/>
        <w:widowControl/>
      </w:pPr>
      <w:r>
        <w:rPr>
          <w:b/>
        </w:rPr>
        <w:t xml:space="preserve">3.1 </w:t>
      </w:r>
      <w:r>
        <w:t>Before activation and during the term, the Merchant will provide accurate and current legal name, trade name, government identification or entity registration, geographic address, contact details, bank or payment details, beneficial ownership information when requested, and all licenses and permits relevant to its offers.</w:t>
      </w:r>
    </w:p>
    <w:p>
      <w:pPr>
        <w:ind w:left="403" w:hanging="403"/>
        <w:widowControl/>
      </w:pPr>
      <w:r>
        <w:rPr>
          <w:b/>
        </w:rPr>
        <w:t xml:space="preserve">3.2 </w:t>
      </w:r>
      <w:r>
        <w:t>The Merchant will provide its BIR Certificate of Registration or electronic Certificate of Registration, required sworn declarations, and proof or registration seal required for online display. The Merchant will issue legally compliant invoices and maintain tax records.</w:t>
      </w:r>
    </w:p>
    <w:p>
      <w:pPr>
        <w:ind w:left="403" w:hanging="403"/>
        <w:widowControl/>
      </w:pPr>
      <w:r>
        <w:rPr>
          <w:b/>
        </w:rPr>
        <w:t xml:space="preserve">3.3 </w:t>
      </w:r>
      <w:r>
        <w:t>The Merchant will promptly update expired, revoked, or changed information. Pahatud may verify submitted information and may delay activation, settlement, or continued access when information is incomplete, inconsistent, expired, or reasonably suspected to be false.</w:t>
      </w:r>
    </w:p>
    <w:p>
      <w:pPr>
        <w:ind w:left="403" w:hanging="403"/>
        <w:widowControl/>
      </w:pPr>
      <w:r>
        <w:rPr>
          <w:b/>
        </w:rPr>
        <w:t xml:space="preserve">3.4 </w:t>
      </w:r>
      <w:r>
        <w:t>The Merchant is responsible for all activity under its accounts, will limit access to authorized personnel, and will use strong passwords and multi-factor authentication when available. The Merchant will notify Pahatud immediately of unauthorized access or account compromise.</w:t>
      </w:r>
    </w:p>
    <w:p>
      <w:pPr>
        <w:pStyle w:val="Heading1"/>
        <w:keepNext/>
      </w:pPr>
      <w:r>
        <w:t>4  Merchant Offers and Listings</w:t>
      </w:r>
    </w:p>
    <w:p>
      <w:pPr>
        <w:ind w:left="403" w:hanging="403"/>
        <w:widowControl/>
      </w:pPr>
      <w:r>
        <w:rPr>
          <w:b/>
        </w:rPr>
        <w:t xml:space="preserve">4.1 </w:t>
      </w:r>
      <w:r>
        <w:t>Every Merchant Offer must clearly and accurately state the name and brand, total price and mandatory charges, material description, quantity or duration, condition, availability, redemption or booking conditions, geographic or delivery limits, cancellation terms, warranty information, and other facts required for an informed purchase.</w:t>
      </w:r>
    </w:p>
    <w:p>
      <w:pPr>
        <w:ind w:left="403" w:hanging="403"/>
        <w:widowControl/>
      </w:pPr>
      <w:r>
        <w:rPr>
          <w:b/>
        </w:rPr>
        <w:t xml:space="preserve">4.2 </w:t>
      </w:r>
      <w:r>
        <w:t>Promotions, discounts, gifts, coupons, and vouchers must state all qualification, validity, redemption, exclusion, quantity, and expiration conditions in accessible and unambiguous language. Reference prices and claimed discounts must be truthful and supported by records.</w:t>
      </w:r>
    </w:p>
    <w:p>
      <w:pPr>
        <w:ind w:left="403" w:hanging="403"/>
        <w:widowControl/>
      </w:pPr>
      <w:r>
        <w:rPr>
          <w:b/>
        </w:rPr>
        <w:t xml:space="preserve">4.3 </w:t>
      </w:r>
      <w:r>
        <w:t>The Merchant will keep prices, inventory, menus, schedules, locations, images, and terms current. The Merchant must honor an accepted Order at the displayed price unless cancellation is required by law, a clear platform error exists, or Pahatud approves another resolution.</w:t>
      </w:r>
    </w:p>
    <w:p>
      <w:pPr>
        <w:ind w:left="403" w:hanging="403"/>
        <w:widowControl/>
      </w:pPr>
      <w:r>
        <w:rPr>
          <w:b/>
        </w:rPr>
        <w:t xml:space="preserve">4.4 </w:t>
      </w:r>
      <w:r>
        <w:t>The Merchant will not submit counterfeit, stolen, unsafe, recalled, expired, infringing, unlawful, misleading, or prohibited goods or services. Regulated goods or professional services may be listed only while all required licenses, permits, and sale restrictions remain valid.</w:t>
      </w:r>
    </w:p>
    <w:p>
      <w:pPr>
        <w:ind w:left="403" w:hanging="403"/>
        <w:widowControl/>
      </w:pPr>
      <w:r>
        <w:rPr>
          <w:b/>
        </w:rPr>
        <w:t xml:space="preserve">4.5 </w:t>
      </w:r>
      <w:r>
        <w:t>Pahatud may review, request substantiation for, correct formatting of, reject, suspend, or remove a Merchant Offer when reasonably necessary for law, safety, accuracy, security, platform policy, or customer protection.</w:t>
      </w:r>
    </w:p>
    <w:p>
      <w:pPr>
        <w:pStyle w:val="Heading1"/>
        <w:keepNext/>
      </w:pPr>
      <w:r>
        <w:t>5  Orders Bookings and Fulfilment</w:t>
      </w:r>
    </w:p>
    <w:p>
      <w:pPr>
        <w:ind w:left="403" w:hanging="403"/>
        <w:widowControl/>
      </w:pPr>
      <w:r>
        <w:rPr>
          <w:b/>
        </w:rPr>
        <w:t xml:space="preserve">5.1 </w:t>
      </w:r>
      <w:r>
        <w:t>The Merchant will monitor Platform notices during its published operating hours and accept, reject, prepare, provide, or fulfill Orders within the service standards in Schedule C.</w:t>
      </w:r>
    </w:p>
    <w:p>
      <w:pPr>
        <w:ind w:left="403" w:hanging="403"/>
        <w:widowControl/>
      </w:pPr>
      <w:r>
        <w:rPr>
          <w:b/>
        </w:rPr>
        <w:t xml:space="preserve">5.2 </w:t>
      </w:r>
      <w:r>
        <w:t>The Merchant will maintain sufficient inventory, staffing, equipment, packaging, and capacity. It will promptly mark unavailable items, closed dates, and service interruptions.</w:t>
      </w:r>
    </w:p>
    <w:p>
      <w:pPr>
        <w:ind w:left="403" w:hanging="403"/>
        <w:widowControl/>
      </w:pPr>
      <w:r>
        <w:rPr>
          <w:b/>
        </w:rPr>
        <w:t xml:space="preserve">5.3 </w:t>
      </w:r>
      <w:r>
        <w:t>The Merchant bears the risk of loss and responsibility for goods until handoff under the delivery method stated in Schedule C, except to the extent loss is caused by Pahatud or a Pahatud-contracted carrier after documented handoff.</w:t>
      </w:r>
    </w:p>
    <w:p>
      <w:pPr>
        <w:ind w:left="403" w:hanging="403"/>
        <w:widowControl/>
      </w:pPr>
      <w:r>
        <w:rPr>
          <w:b/>
        </w:rPr>
        <w:t xml:space="preserve">5.4 </w:t>
      </w:r>
      <w:r>
        <w:t>The Merchant will preserve proof of acceptance, preparation, handoff, delivery, service completion, booking attendance, and voucher redemption as appropriate. The Merchant must not mark an Order fulfilled or a voucher redeemed before the event occurs.</w:t>
      </w:r>
    </w:p>
    <w:p>
      <w:pPr>
        <w:ind w:left="403" w:hanging="403"/>
        <w:widowControl/>
      </w:pPr>
      <w:r>
        <w:rPr>
          <w:b/>
        </w:rPr>
        <w:t xml:space="preserve">5.5 </w:t>
      </w:r>
      <w:r>
        <w:t>The Merchant will not substitute a materially different item or service without the Customer’s informed agreement through an approved channel. Price adjustments require Customer consent when required by law or Platform policy.</w:t>
      </w:r>
    </w:p>
    <w:p>
      <w:pPr>
        <w:pStyle w:val="Heading1"/>
        <w:keepNext/>
      </w:pPr>
      <w:r>
        <w:t>6  Food Flowers and Time Sensitive Goods</w:t>
      </w:r>
    </w:p>
    <w:p>
      <w:pPr>
        <w:widowControl/>
      </w:pPr>
      <w:r>
        <w:t>For food, beverages, flowers, medicines, cosmetics, and other perishable or time-sensitive goods, the Merchant will comply with all applicable health, sanitation, labeling, storage, temperature, expiration, allergen, permit, and recall requirements. The Merchant will package goods for safe transport and provide accurate allergen and handling information. The Merchant will promptly notify Pahatud and affected Customers of a safety issue, recall, contamination concern, or material substitution. Nothing in this clause authorizes the sale of an item restricted or prohibited by law or Platform policy.</w:t>
      </w:r>
    </w:p>
    <w:p>
      <w:pPr>
        <w:pStyle w:val="Heading1"/>
        <w:keepNext/>
      </w:pPr>
      <w:r>
        <w:t>7  Customer Rights Complaints and Remedies</w:t>
      </w:r>
    </w:p>
    <w:p>
      <w:pPr>
        <w:ind w:left="403" w:hanging="403"/>
        <w:widowControl/>
      </w:pPr>
      <w:r>
        <w:rPr>
          <w:b/>
        </w:rPr>
        <w:t xml:space="preserve">7.1 </w:t>
      </w:r>
      <w:r>
        <w:t>The Merchant is primarily responsible for complaints arising from its goods, services, listings, warranties, non-performance, defects, safety, or legal obligations. The Merchant will provide repair, replacement, refund, re-performance, or another remedy when required by Republic Act No. 7394, Republic Act No. 11967, the Civil Code, or other applicable law.</w:t>
      </w:r>
    </w:p>
    <w:p>
      <w:pPr>
        <w:ind w:left="403" w:hanging="403"/>
        <w:widowControl/>
      </w:pPr>
      <w:r>
        <w:rPr>
          <w:b/>
        </w:rPr>
        <w:t xml:space="preserve">7.2 The Merchant will acknowledge a complaint within </w:t>
      </w:r>
      <w:r>
        <w:rPr>
          <w:b/>
          <w:color w:val="D92722"/>
          <w:shd w:val="clear" w:color="auto" w:fill="FFF0EE"/>
        </w:rPr>
        <w:t>[COMPLAINT RESPONSE TIME]</w:t>
      </w:r>
      <w:r>
        <w:t xml:space="preserve"> and give Pahatud the information and proposed resolution needed for the Platform’s internal redress process. The Merchant will cooperate so complaints can be addressed within applicable legal timeframes, including the seven-calendar-day internal-redress period under the Internet Transactions Act when relevant.</w:t>
      </w:r>
    </w:p>
    <w:p>
      <w:pPr>
        <w:ind w:left="403" w:hanging="403"/>
        <w:widowControl/>
      </w:pPr>
      <w:r>
        <w:rPr>
          <w:b/>
        </w:rPr>
        <w:t xml:space="preserve">7.3 </w:t>
      </w:r>
      <w:r>
        <w:t>Pahatud may issue a refund, replacement, credit, cancellation, or other reasonable remedy on the Merchant’s behalf when required by law, Platform policy, the Merchant’s published terms, or clear evidence. Pahatud may deduct the Merchant-funded portion and directly related charges from settlements after providing a transaction record.</w:t>
      </w:r>
    </w:p>
    <w:p>
      <w:pPr>
        <w:ind w:left="403" w:hanging="403"/>
        <w:widowControl/>
      </w:pPr>
      <w:r>
        <w:rPr>
          <w:b/>
        </w:rPr>
        <w:t xml:space="preserve">7.4 </w:t>
      </w:r>
      <w:r>
        <w:t>Any return condition must be lawful and clearly disclosed. When the Customer is entitled to a replacement or refund for a defect, nonconformity, malfunction, or loss not caused by the Customer, return costs will be allocated as required by law.</w:t>
      </w:r>
    </w:p>
    <w:p>
      <w:pPr>
        <w:pStyle w:val="Heading1"/>
        <w:keepNext/>
      </w:pPr>
      <w:r>
        <w:t>8  Pricing Fees and Taxes</w:t>
      </w:r>
    </w:p>
    <w:p>
      <w:pPr>
        <w:ind w:left="403" w:hanging="403"/>
        <w:widowControl/>
      </w:pPr>
      <w:r>
        <w:rPr>
          <w:b/>
        </w:rPr>
        <w:t xml:space="preserve">8.1 </w:t>
      </w:r>
      <w:r>
        <w:t>The Merchant controls its retail price, subject to law and published promotions it accepts. The Merchant will not impose an undisclosed Platform surcharge or misleading fee.</w:t>
      </w:r>
    </w:p>
    <w:p>
      <w:pPr>
        <w:ind w:left="403" w:hanging="403"/>
        <w:widowControl/>
      </w:pPr>
      <w:r>
        <w:rPr>
          <w:b/>
        </w:rPr>
        <w:t xml:space="preserve">8.2 </w:t>
      </w:r>
      <w:r>
        <w:t>The Merchant will pay the commissions, service fees, payment-processing fees, delivery-related charges, refunds, adjustments, and other amounts listed in Schedule B. Unless Schedule B states otherwise, fees are exclusive of applicable taxes.</w:t>
      </w:r>
    </w:p>
    <w:p>
      <w:pPr>
        <w:ind w:left="403" w:hanging="403"/>
        <w:widowControl/>
      </w:pPr>
      <w:r>
        <w:rPr>
          <w:b/>
        </w:rPr>
        <w:t xml:space="preserve">8.3 </w:t>
      </w:r>
      <w:r>
        <w:t>Pahatud may deduct amounts due from settlements and may maintain the reserve described in Schedule B for expected refunds, chargebacks, fraud, tax, or other documented exposure. Pahatud will release undisputed reserves under the stated schedule.</w:t>
      </w:r>
    </w:p>
    <w:p>
      <w:pPr>
        <w:ind w:left="403" w:hanging="403"/>
        <w:widowControl/>
      </w:pPr>
      <w:r>
        <w:rPr>
          <w:b/>
        </w:rPr>
        <w:t xml:space="preserve">8.4 </w:t>
      </w:r>
      <w:r>
        <w:t>Each Party is responsible for taxes legally imposed on it. Pahatud may withhold and remit creditable or other taxes from Merchant remittances when required, including taxes applicable to e-marketplace remittances, and will provide the prescribed certificate. The Merchant will submit current BIR documents and declarations needed to determine lawful withholding.</w:t>
      </w:r>
    </w:p>
    <w:p>
      <w:pPr>
        <w:ind w:left="403" w:hanging="403"/>
        <w:widowControl/>
      </w:pPr>
      <w:r>
        <w:rPr>
          <w:b/>
        </w:rPr>
        <w:t xml:space="preserve">8.5 </w:t>
      </w:r>
      <w:r>
        <w:t>The Merchant remains responsible for issuing invoices or other tax documents for its sales unless a lawful and documented arrangement states otherwise.</w:t>
      </w:r>
    </w:p>
    <w:p>
      <w:pPr>
        <w:pStyle w:val="Heading1"/>
        <w:keepNext/>
      </w:pPr>
      <w:r>
        <w:t>9  Settlement and Reconciliation</w:t>
      </w:r>
    </w:p>
    <w:p>
      <w:pPr>
        <w:ind w:left="403" w:hanging="403"/>
        <w:widowControl/>
      </w:pPr>
      <w:r>
        <w:rPr>
          <w:b/>
        </w:rPr>
        <w:t xml:space="preserve">9.1 </w:t>
      </w:r>
      <w:r>
        <w:t>Pahatud will remit Net Proceeds according to Schedule B. Net Proceeds means amounts collected for Merchant Orders less agreed fees, taxes withheld, Merchant-funded discounts, refunds, chargebacks, reserves, delivery charges allocated to the Merchant, and other authorized deductions.</w:t>
      </w:r>
    </w:p>
    <w:p>
      <w:pPr>
        <w:ind w:left="403" w:hanging="403"/>
        <w:widowControl/>
      </w:pPr>
      <w:r>
        <w:rPr>
          <w:b/>
        </w:rPr>
        <w:t xml:space="preserve">9.2 </w:t>
      </w:r>
      <w:r>
        <w:t>Settlement is subject to payment-provider processing, banking days, fraud review, and receipt of required documents. The Merchant will verify its bank details and bears losses caused by incorrect details it supplies, except where Pahatud failed to apply an agreed verification process.</w:t>
      </w:r>
    </w:p>
    <w:p>
      <w:pPr>
        <w:ind w:left="403" w:hanging="403"/>
        <w:widowControl/>
      </w:pPr>
      <w:r>
        <w:rPr>
          <w:b/>
        </w:rPr>
        <w:t xml:space="preserve">9.3 The Merchant must dispute a settlement statement within </w:t>
      </w:r>
      <w:r>
        <w:rPr>
          <w:b/>
          <w:color w:val="D92722"/>
          <w:shd w:val="clear" w:color="auto" w:fill="FFF0EE"/>
        </w:rPr>
        <w:t>[RECONCILIATION PERIOD]</w:t>
      </w:r>
      <w:r>
        <w:t xml:space="preserve"> after it becomes available, with order-level evidence. Failure to dispute within that period does not waive a right that cannot lawfully be waived, but the statement will otherwise be treated as accepted.</w:t>
      </w:r>
    </w:p>
    <w:p>
      <w:pPr>
        <w:ind w:left="403" w:hanging="403"/>
        <w:widowControl/>
      </w:pPr>
      <w:r>
        <w:rPr>
          <w:b/>
        </w:rPr>
        <w:t xml:space="preserve">9.4 </w:t>
      </w:r>
      <w:r>
        <w:t>Pahatud may set off undisputed or finally determined amounts owed by the Merchant. Pahatud will not withhold unrelated amounts longer than reasonably necessary.</w:t>
      </w:r>
    </w:p>
    <w:p>
      <w:pPr>
        <w:pStyle w:val="Heading1"/>
        <w:keepNext/>
      </w:pPr>
      <w:r>
        <w:t>10  Delivery and Pickup</w:t>
      </w:r>
    </w:p>
    <w:p>
      <w:pPr>
        <w:ind w:left="403" w:hanging="403"/>
        <w:widowControl/>
      </w:pPr>
      <w:r>
        <w:rPr>
          <w:b/>
        </w:rPr>
        <w:t xml:space="preserve">10.1 </w:t>
      </w:r>
      <w:r>
        <w:t>Schedule C identifies whether delivery is performed by the Merchant, a Pahatud-coordinated rider, or a third-party provider. The Merchant will meet packaging, labeling, readiness, handoff, and proof requirements for the selected method.</w:t>
      </w:r>
    </w:p>
    <w:p>
      <w:pPr>
        <w:ind w:left="403" w:hanging="403"/>
        <w:widowControl/>
      </w:pPr>
      <w:r>
        <w:rPr>
          <w:b/>
        </w:rPr>
        <w:t xml:space="preserve">10.2 </w:t>
      </w:r>
      <w:r>
        <w:t>For Merchant delivery, the Merchant is responsible for its personnel, vehicles, permits, insurance, cash handling if authorized, and delivery performance.</w:t>
      </w:r>
    </w:p>
    <w:p>
      <w:pPr>
        <w:ind w:left="403" w:hanging="403"/>
        <w:widowControl/>
      </w:pPr>
      <w:r>
        <w:rPr>
          <w:b/>
        </w:rPr>
        <w:t xml:space="preserve">10.3 </w:t>
      </w:r>
      <w:r>
        <w:t>For Pahatud-coordinated delivery, the Merchant will release an Order only to the assigned rider after verification. Responsibility for delay, damage, loss, or incorrect delivery will be allocated according to evidence of preparation, packaging, handoff, transport, and delivery.</w:t>
      </w:r>
    </w:p>
    <w:p>
      <w:pPr>
        <w:ind w:left="403" w:hanging="403"/>
        <w:widowControl/>
      </w:pPr>
      <w:r>
        <w:rPr>
          <w:b/>
        </w:rPr>
        <w:t xml:space="preserve">10.4 </w:t>
      </w:r>
      <w:r>
        <w:t>The Merchant will not use Customer contact or location data for any purpose unrelated to the Order, safety, support, or legal compliance.</w:t>
      </w:r>
    </w:p>
    <w:p>
      <w:pPr>
        <w:pStyle w:val="Heading1"/>
        <w:keepNext/>
      </w:pPr>
      <w:r>
        <w:t>11  Consumer and Regulatory Compliance</w:t>
      </w:r>
    </w:p>
    <w:p>
      <w:pPr>
        <w:widowControl/>
      </w:pPr>
      <w:r>
        <w:t>The Merchant will comply with the Consumer Act, Internet Transactions Act and its implementing rules, Electronic Commerce Act, price and promotional rules, product standards, food and health rules, accessibility requirements that apply to its services, intellectual property laws, tax and invoicing rules, and local licensing requirements. The Merchant will maintain an accessible customer contact channel and cooperate with lawful regulator requests, takedown orders, recalls, and investigations.</w:t>
      </w:r>
    </w:p>
    <w:p>
      <w:pPr>
        <w:widowControl/>
      </w:pPr>
      <w:r>
        <w:t>The Merchant will not engage in deceptive, unfair, unconscionable, discriminatory, anti-competitive, or fraudulent conduct. Merchant policies cannot exclude mandatory consumer rights.</w:t>
      </w:r>
    </w:p>
    <w:p>
      <w:pPr>
        <w:pStyle w:val="Heading1"/>
        <w:keepNext/>
      </w:pPr>
      <w:r>
        <w:t>12  Privacy and Information Security</w:t>
      </w:r>
    </w:p>
    <w:p>
      <w:pPr>
        <w:ind w:left="403" w:hanging="403"/>
        <w:widowControl/>
      </w:pPr>
      <w:r>
        <w:rPr>
          <w:b/>
        </w:rPr>
        <w:t xml:space="preserve">12.1 </w:t>
      </w:r>
      <w:r>
        <w:t>Each Party will comply with Republic Act No. 10173, its implementing rules, National Privacy Commission issuances, and applicable privacy law. Each Party acts as an independent personal information controller for processing it determines for its own legitimate purposes. When one Party processes Personal Data solely on the other’s documented instructions, it acts as a personal information processor for that limited activity.</w:t>
      </w:r>
    </w:p>
    <w:p>
      <w:pPr>
        <w:ind w:left="403" w:hanging="403"/>
        <w:widowControl/>
      </w:pPr>
      <w:r>
        <w:rPr>
          <w:b/>
        </w:rPr>
        <w:t xml:space="preserve">12.2 </w:t>
      </w:r>
      <w:r>
        <w:t>The Merchant may use Customer Personal Data only to accept, fulfill, deliver, support, refund, prevent fraud in, keep legally required records of, or resolve the relevant Order. The Merchant may not use Platform-derived data for unrelated marketing, list building, profiling, sale, or disclosure unless it has a separate lawful basis and gives all required notices.</w:t>
      </w:r>
    </w:p>
    <w:p>
      <w:pPr>
        <w:ind w:left="403" w:hanging="403"/>
        <w:widowControl/>
      </w:pPr>
      <w:r>
        <w:rPr>
          <w:b/>
        </w:rPr>
        <w:t xml:space="preserve">12.3 </w:t>
      </w:r>
      <w:r>
        <w:t>The Merchant will apply reasonable organizational, physical, and technical safeguards; restrict access to trained personnel; keep data accurate; retain it only as long as necessary or legally required; and dispose of it securely.</w:t>
      </w:r>
    </w:p>
    <w:p>
      <w:pPr>
        <w:ind w:left="403" w:hanging="403"/>
        <w:widowControl/>
      </w:pPr>
      <w:r>
        <w:rPr>
          <w:b/>
        </w:rPr>
        <w:t xml:space="preserve">12.4 The Merchant will notify Pahatud at </w:t>
      </w:r>
      <w:r>
        <w:rPr>
          <w:b/>
          <w:color w:val="D92722"/>
          <w:shd w:val="clear" w:color="auto" w:fill="FFF0EE"/>
        </w:rPr>
        <w:t>[PRIVACY CONTACT EMAIL OR NUMBER]</w:t>
      </w:r>
      <w:r>
        <w:t xml:space="preserve"> immediately and no later than twenty-four hours after discovering actual or suspected unauthorized access, loss, disclosure, alteration, or processing affecting Platform data. It will preserve evidence, contain the incident, and cooperate with risk assessment, data-subject communication, regulator notification, and remediation.</w:t>
      </w:r>
    </w:p>
    <w:p>
      <w:pPr>
        <w:ind w:left="403" w:hanging="403"/>
        <w:widowControl/>
      </w:pPr>
      <w:r>
        <w:rPr>
          <w:b/>
        </w:rPr>
        <w:t xml:space="preserve">12.5 </w:t>
      </w:r>
      <w:r>
        <w:t>Neither Party may appoint a processor for shared Platform data unless the appointment is lawful and contractually requires comparable protection. The data responsibilities and contacts are summarized in Schedule D.</w:t>
      </w:r>
    </w:p>
    <w:p>
      <w:pPr>
        <w:pStyle w:val="Heading1"/>
        <w:keepNext/>
      </w:pPr>
      <w:r>
        <w:t>13  Platform Data and Records</w:t>
      </w:r>
    </w:p>
    <w:p>
      <w:pPr>
        <w:widowControl/>
      </w:pPr>
      <w:r>
        <w:t>As between the Parties, each Party owns the records it creates independently. Pahatud owns or controls the Platform, system logs, marketplace analytics, and aggregated or de-identified data, subject to law and third-party rights. The Merchant owns its product information, trademarks, business records, and Merchant-created content. Neither Party acquires ownership of Personal Data by processing it.</w:t>
      </w:r>
    </w:p>
    <w:p>
      <w:pPr>
        <w:widowControl/>
      </w:pPr>
      <w:r>
        <w:t xml:space="preserve">The Merchant will keep Order, fulfillment, permit, safety, complaint, refund, tax, and voucher-redemption records for </w:t>
      </w:r>
      <w:r>
        <w:rPr>
          <w:b/>
          <w:color w:val="D92722"/>
          <w:shd w:val="clear" w:color="auto" w:fill="FFF0EE"/>
        </w:rPr>
        <w:t>[RECORD RETENTION PERIOD]</w:t>
      </w:r>
      <w:r>
        <w:t xml:space="preserve"> or the longer period required by law. On reasonable notice, Pahatud may review records directly related to this Agreement to verify fees, investigate fraud or safety, meet legal duties, or respond to a complaint. Reviews must be proportionate and protect unrelated confidential information.</w:t>
      </w:r>
    </w:p>
    <w:p>
      <w:pPr>
        <w:pStyle w:val="Heading1"/>
        <w:keepNext/>
      </w:pPr>
      <w:r>
        <w:t>14  Intellectual Property and Content License</w:t>
      </w:r>
    </w:p>
    <w:p>
      <w:pPr>
        <w:ind w:left="403" w:hanging="403"/>
        <w:widowControl/>
      </w:pPr>
      <w:r>
        <w:rPr>
          <w:b/>
        </w:rPr>
        <w:t xml:space="preserve">14.1 </w:t>
      </w:r>
      <w:r>
        <w:t>The Merchant retains ownership of its names, marks, menus, photographs, descriptions, and other submitted content. The Merchant grants Pahatud a non-exclusive, worldwide, royalty-free license during the term and for a reasonable wind-down period to host, reproduce, format, translate, display, distribute, and promote that content solely to operate and market the Platform and Merchant Offers.</w:t>
      </w:r>
    </w:p>
    <w:p>
      <w:pPr>
        <w:ind w:left="403" w:hanging="403"/>
        <w:widowControl/>
      </w:pPr>
      <w:r>
        <w:rPr>
          <w:b/>
        </w:rPr>
        <w:t xml:space="preserve">14.2 </w:t>
      </w:r>
      <w:r>
        <w:t>The Merchant represents that it owns or has all rights needed for submitted content and that the content does not infringe intellectual property, privacy, publicity, or other rights.</w:t>
      </w:r>
    </w:p>
    <w:p>
      <w:pPr>
        <w:ind w:left="403" w:hanging="403"/>
        <w:widowControl/>
      </w:pPr>
      <w:r>
        <w:rPr>
          <w:b/>
        </w:rPr>
        <w:t xml:space="preserve">14.3 </w:t>
      </w:r>
      <w:r>
        <w:t>Pahatud and its licensors retain all rights in the Platform, software, interfaces, marketplace content, trademarks, and documentation. The Merchant receives a limited, non-transferable, revocable right to use the Platform for this Agreement and may not reverse engineer, scrape, interfere with, or create derivative services from it except as allowed by mandatory law.</w:t>
      </w:r>
    </w:p>
    <w:p>
      <w:pPr>
        <w:pStyle w:val="Heading1"/>
        <w:keepNext/>
      </w:pPr>
      <w:r>
        <w:t>15  Confidentiality</w:t>
      </w:r>
    </w:p>
    <w:p>
      <w:pPr>
        <w:widowControl/>
      </w:pPr>
      <w:r>
        <w:t>Each Party will use the other Party’s Confidential Information only for this Agreement, protect it with reasonable care, and disclose it only to persons who need it and are bound by confidentiality duties. Confidential Information excludes information the receiving Party can document was already lawfully known, became public without breach, was received lawfully without restriction, or was independently developed.</w:t>
      </w:r>
    </w:p>
    <w:p>
      <w:pPr>
        <w:widowControl/>
      </w:pPr>
      <w:r>
        <w:t xml:space="preserve">Required legal disclosures are permitted after prompt notice when legally allowed and must be limited to what is required. On request or termination, protected information must be returned or securely deleted, subject to lawful retention. These duties continue for </w:t>
      </w:r>
      <w:r>
        <w:rPr>
          <w:b/>
          <w:color w:val="D92722"/>
          <w:shd w:val="clear" w:color="auto" w:fill="FFF0EE"/>
        </w:rPr>
        <w:t>[CONFIDENTIALITY PERIOD]</w:t>
      </w:r>
      <w:r>
        <w:t xml:space="preserve"> after termination; trade secrets remain protected while they qualify as trade secrets.</w:t>
      </w:r>
    </w:p>
    <w:p>
      <w:pPr>
        <w:pStyle w:val="Heading1"/>
        <w:keepNext/>
      </w:pPr>
      <w:r>
        <w:t>16  No Misuse of Customer Relationships</w:t>
      </w:r>
    </w:p>
    <w:p>
      <w:pPr>
        <w:widowControl/>
      </w:pPr>
      <w:r>
        <w:t>The Merchant may include ordinary customer-service and lawful brand materials with an Order. The Merchant may not use Platform-derived Personal Data to divert, pressure, or solicit a Customer into an off-platform transaction, or to avoid fees on an Order initiated through the Platform. This restriction does not prevent the Merchant from serving a person through an independently obtained relationship or conducting general advertising that does not use Platform-derived data.</w:t>
      </w:r>
    </w:p>
    <w:p>
      <w:pPr>
        <w:pStyle w:val="Heading1"/>
        <w:keepNext/>
      </w:pPr>
      <w:r>
        <w:t>17  Representations and Warranties</w:t>
      </w:r>
    </w:p>
    <w:p>
      <w:pPr>
        <w:widowControl/>
      </w:pPr>
      <w:r>
        <w:t>Each Party represents that it has authority to enter this Agreement. The Merchant represents that it is lawfully registered, its information is accurate, its goods and services are safe and lawful, it holds required rights and permits, and it will honor mandatory warranties and customer remedies. Except for express promises in this Agreement, Pahatud does not guarantee uninterrupted access, a minimum number of Orders, revenue, customer conduct, or the performance of third-party networks and payment services.</w:t>
      </w:r>
    </w:p>
    <w:p>
      <w:pPr>
        <w:pStyle w:val="Heading1"/>
        <w:keepNext/>
      </w:pPr>
      <w:r>
        <w:t>18  Indemnity</w:t>
      </w:r>
    </w:p>
    <w:p>
      <w:pPr>
        <w:widowControl/>
      </w:pPr>
      <w:r>
        <w:t>To the extent permitted by law, the Merchant will defend, indemnify, and hold harmless Pahatud, its affiliates, and their officers, directors, personnel, and service providers from third-party claims, penalties, losses, and reasonable costs arising from Merchant Offers; injury, illness, death, contamination, defect, infringement, or non-performance attributable to the Merchant; the Merchant’s tax or employment obligations; or the Merchant’s breach of law, privacy duties, security duties, warranties, or this Agreement.</w:t>
      </w:r>
    </w:p>
    <w:p>
      <w:pPr>
        <w:widowControl/>
      </w:pPr>
      <w:r>
        <w:t>Pahatud must promptly notify the Merchant, allow the Merchant to control the defense with competent counsel, and reasonably cooperate. The Merchant may not settle a claim that admits fault by or imposes a non-monetary duty on Pahatud without written consent. This clause does not require indemnity to the extent a claim was caused by Pahatud’s breach, negligence, fraud, or willful misconduct.</w:t>
      </w:r>
    </w:p>
    <w:p>
      <w:pPr>
        <w:pStyle w:val="Heading1"/>
        <w:keepNext/>
      </w:pPr>
      <w:r>
        <w:t>19  Liability Limits</w:t>
      </w:r>
    </w:p>
    <w:p>
      <w:pPr>
        <w:widowControl/>
      </w:pPr>
      <w:r>
        <w:t xml:space="preserve">To the extent permitted by law, neither Party is liable to the other for indirect, incidental, special, exemplary, or consequential damages, or lost profits not forming part of a direct payment obligation. Pahatud’s aggregate liability arising from this Agreement will not exceed the Platform fees paid or payable by the Merchant during the </w:t>
      </w:r>
      <w:r>
        <w:rPr>
          <w:b/>
          <w:color w:val="D92722"/>
          <w:shd w:val="clear" w:color="auto" w:fill="FFF0EE"/>
        </w:rPr>
        <w:t>[LIABILITY LOOKBACK PERIOD]</w:t>
      </w:r>
      <w:r>
        <w:t xml:space="preserve"> before the event giving rise to the claim.</w:t>
      </w:r>
    </w:p>
    <w:p>
      <w:pPr>
        <w:widowControl/>
      </w:pPr>
      <w:r>
        <w:t>The exclusions and cap do not apply to fraud, willful misconduct, death or personal injury caused by negligence, confidentiality breaches, privacy or security violations, infringement, indemnity obligations, amounts held for settlement, or liability that cannot lawfully be limited. Nothing in this Agreement limits a Customer’s mandatory rights.</w:t>
      </w:r>
    </w:p>
    <w:p>
      <w:pPr>
        <w:pStyle w:val="Heading1"/>
        <w:keepNext/>
      </w:pPr>
      <w:r>
        <w:t>20  Suspension Takedown and Platform Changes</w:t>
      </w:r>
    </w:p>
    <w:p>
      <w:pPr>
        <w:ind w:left="403" w:hanging="403"/>
        <w:widowControl/>
      </w:pPr>
      <w:r>
        <w:rPr>
          <w:b/>
        </w:rPr>
        <w:t xml:space="preserve">20.1 </w:t>
      </w:r>
      <w:r>
        <w:t>Pahatud may suspend an account, Order, settlement, or Merchant Offer when reasonably necessary to address fraud, safety, a data incident, missing permits, inaccurate information, repeated service failures, intellectual property claims, unlawful content, regulator direction, or material breach.</w:t>
      </w:r>
    </w:p>
    <w:p>
      <w:pPr>
        <w:ind w:left="403" w:hanging="403"/>
        <w:widowControl/>
      </w:pPr>
      <w:r>
        <w:rPr>
          <w:b/>
        </w:rPr>
        <w:t xml:space="preserve">20.2 </w:t>
      </w:r>
      <w:r>
        <w:t>When circumstances permit, Pahatud will give the Merchant the reason and an opportunity to respond or cure. Immediate action is permitted when delay could harm a person, violate law, compromise security, or expose either Party to material loss.</w:t>
      </w:r>
    </w:p>
    <w:p>
      <w:pPr>
        <w:ind w:left="403" w:hanging="403"/>
        <w:widowControl/>
      </w:pPr>
      <w:r>
        <w:rPr>
          <w:b/>
        </w:rPr>
        <w:t xml:space="preserve">20.3 </w:t>
      </w:r>
      <w:r>
        <w:t>Pahatud may update technical requirements and reasonable Platform policies after notice. A change that materially alters agreed fees, settlement, or core risk allocation requires an amendment or the notice and termination right stated in Schedule B.</w:t>
      </w:r>
    </w:p>
    <w:p>
      <w:pPr>
        <w:pStyle w:val="Heading1"/>
        <w:keepNext/>
      </w:pPr>
      <w:r>
        <w:t>21  Term and Termination</w:t>
      </w:r>
    </w:p>
    <w:p>
      <w:pPr>
        <w:ind w:left="403" w:hanging="403"/>
        <w:widowControl/>
      </w:pPr>
      <w:r>
        <w:rPr>
          <w:b/>
        </w:rPr>
        <w:t xml:space="preserve">21.1 This Agreement starts on the Effective Date and continues for </w:t>
      </w:r>
      <w:r>
        <w:rPr>
          <w:b/>
          <w:color w:val="D92722"/>
          <w:shd w:val="clear" w:color="auto" w:fill="FFF0EE"/>
        </w:rPr>
        <w:t>[INITIAL TERM]</w:t>
      </w:r>
      <w:r>
        <w:t xml:space="preserve">, then </w:t>
      </w:r>
      <w:r>
        <w:rPr>
          <w:b/>
          <w:color w:val="D92722"/>
          <w:shd w:val="clear" w:color="auto" w:fill="FFF0EE"/>
        </w:rPr>
        <w:t>[RENEWAL TERMS]</w:t>
      </w:r>
      <w:r>
        <w:t>, unless terminated under this clause.</w:t>
      </w:r>
    </w:p>
    <w:p>
      <w:pPr>
        <w:ind w:left="403" w:hanging="403"/>
        <w:widowControl/>
      </w:pPr>
      <w:r>
        <w:rPr>
          <w:b/>
        </w:rPr>
        <w:t xml:space="preserve">21.2 Either Party may terminate without cause by giving </w:t>
      </w:r>
      <w:r>
        <w:rPr>
          <w:b/>
          <w:color w:val="D92722"/>
          <w:shd w:val="clear" w:color="auto" w:fill="FFF0EE"/>
        </w:rPr>
        <w:t>[NOTICE PERIOD]</w:t>
      </w:r>
      <w:r>
        <w:t xml:space="preserve"> written notice.</w:t>
      </w:r>
    </w:p>
    <w:p>
      <w:pPr>
        <w:ind w:left="403" w:hanging="403"/>
        <w:widowControl/>
      </w:pPr>
      <w:r>
        <w:rPr>
          <w:b/>
        </w:rPr>
        <w:t xml:space="preserve">21.3 A Party may terminate for a curable material breach not cured within </w:t>
      </w:r>
      <w:r>
        <w:rPr>
          <w:b/>
          <w:color w:val="D92722"/>
          <w:shd w:val="clear" w:color="auto" w:fill="FFF0EE"/>
        </w:rPr>
        <w:t>[CURE PERIOD]</w:t>
      </w:r>
      <w:r>
        <w:t xml:space="preserve"> after written notice. Pahatud may terminate immediately for fraud, unlawful goods, a serious safety or privacy incident, repeated customer harm, loss of required permits, insolvency, or a breach that cannot be cured.</w:t>
      </w:r>
    </w:p>
    <w:p>
      <w:pPr>
        <w:ind w:left="403" w:hanging="403"/>
        <w:widowControl/>
      </w:pPr>
      <w:r>
        <w:rPr>
          <w:b/>
        </w:rPr>
        <w:t xml:space="preserve">21.4 </w:t>
      </w:r>
      <w:r>
        <w:t>After termination, the Merchant will stop presenting as a Platform merchant, fulfill or lawfully resolve accepted Orders, honor outstanding vouchers and warranties unless another lawful arrangement is communicated to Customers, pay amounts due, and return or delete protected information. Pahatud may keep access available for a limited wind-down and will settle undisputed Net Proceeds after lawful deductions and reserves.</w:t>
      </w:r>
    </w:p>
    <w:p>
      <w:pPr>
        <w:pStyle w:val="Heading1"/>
        <w:keepNext/>
      </w:pPr>
      <w:r>
        <w:t>22  Notices</w:t>
      </w:r>
    </w:p>
    <w:p>
      <w:pPr>
        <w:widowControl/>
      </w:pPr>
      <w:r>
        <w:t>Formal notices must be sent by personal delivery, recognized courier, or email to the addresses below or to a replacement address notified in writing. Email notice is received when the sender receives a non-automated acknowledgment or on the next business day if no delivery failure is received. Notices of termination, breach, or legal claim should also be sent by courier when practicable.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1656"/>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Party</w:t>
            </w:r>
          </w:p>
        </w:tc>
        <w:tc>
          <w:tcPr>
            <w:tcW w:type="dxa" w:w="468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Notice Address</w:t>
            </w:r>
          </w:p>
        </w:tc>
        <w:tc>
          <w:tcPr>
            <w:tcW w:type="dxa" w:w="324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Notice Email</w:t>
            </w:r>
          </w:p>
        </w:tc>
      </w:tr>
      <w:tr>
        <w:trPr>
          <w:cantSplit w:val="true"/>
        </w:trPr>
        <w:tc>
          <w:tcPr>
            <w:tcW w:type="dxa" w:w="165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Pahatud</w:t>
            </w:r>
          </w:p>
        </w:tc>
        <w:tc>
          <w:tcPr>
            <w:tcW w:type="dxa" w:w="46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[PAHATUD NOTICE ADDRESS]</w:t>
            </w:r>
          </w:p>
        </w:tc>
        <w:tc>
          <w:tcPr>
            <w:tcW w:type="dxa" w:w="324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[PAHATUD NOTICE EMAIL]</w:t>
            </w:r>
          </w:p>
        </w:tc>
      </w:tr>
      <w:tr>
        <w:trPr>
          <w:cantSplit w:val="true"/>
        </w:trPr>
        <w:tc>
          <w:tcPr>
            <w:tcW w:type="dxa" w:w="165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Merchant</w:t>
            </w:r>
          </w:p>
        </w:tc>
        <w:tc>
          <w:tcPr>
            <w:tcW w:type="dxa" w:w="46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[MERCHANT NOTICE ADDRESS]</w:t>
            </w:r>
          </w:p>
        </w:tc>
        <w:tc>
          <w:tcPr>
            <w:tcW w:type="dxa" w:w="324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[MERCHANT NOTICE EMAIL]</w:t>
            </w:r>
          </w:p>
        </w:tc>
      </w:tr>
    </w:tbl>
    <w:p>
      <w:pPr>
        <w:spacing w:after="0"/>
      </w:pPr>
    </w:p>
    <w:p>
      <w:pPr>
        <w:pStyle w:val="Heading1"/>
        <w:keepNext/>
      </w:pPr>
      <w:r>
        <w:t>23  Dispute Resolution and Governing Law</w:t>
      </w:r>
    </w:p>
    <w:p>
      <w:pPr>
        <w:widowControl/>
      </w:pPr>
      <w:r>
        <w:t>The Parties will first attempt in good faith to resolve a dispute through authorized representatives within thirty days after written notice describing the dispute. They may then agree to mediation. This clause does not prevent either Party from seeking urgent injunctive relief, reporting to a regulator, using Pahatud’s internal redress process, or using a remedy that cannot lawfully be waived.</w:t>
      </w:r>
    </w:p>
    <w:p>
      <w:pPr>
        <w:widowControl/>
      </w:pPr>
      <w:r>
        <w:t xml:space="preserve">Philippine law governs this Agreement, without regard to conflict-of-law rules. Subject to mandatory consumer, administrative, and regulatory remedies, the courts of </w:t>
      </w:r>
      <w:r>
        <w:rPr>
          <w:b/>
          <w:color w:val="D92722"/>
          <w:shd w:val="clear" w:color="auto" w:fill="FFF0EE"/>
        </w:rPr>
        <w:t>[CITY OR PROVINCE]</w:t>
      </w:r>
      <w:r>
        <w:t xml:space="preserve"> have exclusive venue over court proceedings between the Parties arising from this Agreement.</w:t>
      </w:r>
    </w:p>
    <w:p>
      <w:pPr>
        <w:pStyle w:val="Heading1"/>
        <w:keepNext/>
      </w:pPr>
      <w:r>
        <w:t>24  General Terms</w:t>
      </w:r>
    </w:p>
    <w:p>
      <w:pPr>
        <w:widowControl/>
      </w:pPr>
      <w:r>
        <w:t>Neither Party is liable for delay caused by events beyond reasonable control, except payment obligations already due. The affected Party will promptly notify the other and take reasonable steps to reduce the delay, protect perishable Orders, and communicate with affected Customers.</w:t>
      </w:r>
    </w:p>
    <w:p>
      <w:pPr>
        <w:widowControl/>
      </w:pPr>
      <w:r>
        <w:t>The Merchant may not assign this Agreement without Pahatud’s prior written consent. Pahatud may assign it to an affiliate or in connection with a merger, reorganization, financing, or transfer of the relevant business after notice to the Merchant.</w:t>
      </w:r>
    </w:p>
    <w:p>
      <w:pPr>
        <w:widowControl/>
      </w:pPr>
      <w:r>
        <w:t>The Parties are independent contractors. This Agreement does not create employment, partnership, joint venture, franchise, fiduciary duty, or authority for one Party to bind the other, except for the expressly stated payment and customer-remedy functions.</w:t>
      </w:r>
    </w:p>
    <w:p>
      <w:pPr>
        <w:widowControl/>
      </w:pPr>
      <w:r>
        <w:t>This Agreement and its schedules are the entire agreement on their subject and replace prior discussions. An amendment or waiver must be in writing and signed by authorized representatives. Failure to enforce a term is not a waiver. If a term is unenforceable, it will be limited to the minimum extent necessary and the remainder will continue. Clauses intended by their nature to survive termination will survive. Electronic records and signatures may be used as permitted by Republic Act No. 8792 and applicable rules.</w:t>
      </w:r>
    </w:p>
    <w:p>
      <w:r>
        <w:br w:type="page"/>
      </w:r>
    </w:p>
    <w:p>
      <w:pPr>
        <w:pStyle w:val="Heading1"/>
      </w:pPr>
      <w:r>
        <w:t>Schedule A Merchant Information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096"/>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Field</w:t>
            </w:r>
          </w:p>
        </w:tc>
        <w:tc>
          <w:tcPr>
            <w:tcW w:type="dxa" w:w="648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Merchant Details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Registered Legal Name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[LEGAL NAME]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Trade Name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[TRADE NAME]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Entity Type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[SOLE PROPRIETORSHIP PARTNERSHIP CORPORATION OR OTHER]</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DTI SEC CDA Registration</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[NUMBER AND DATE]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BIR TIN and Registration</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[TIN COR DETAILS AND SEAL BADGE OR LINK]</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Business Address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[ADDRESS]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Contact Person</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[NAME TITLE MOBILE AND EMAIL]</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Bank or Settlement Account</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[BANK ACCOUNT NAME AND VERIFIED DETAILS]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Licenses and Permits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[MAYORS PERMIT SANITARY FDA PROFESSIONAL OR OTHER]</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Business Categories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[RESTAURANT FLOWERS VOUCHERS BOOKINGS RETAIL OR OTHER]</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Locations Covered</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[BRANCHES AND SERVICE AREAS]</w:t>
            </w:r>
          </w:p>
        </w:tc>
      </w:tr>
    </w:tbl>
    <w:p>
      <w:pPr>
        <w:spacing w:after="0"/>
      </w:pPr>
    </w:p>
    <w:p>
      <w:pPr>
        <w:pStyle w:val="Heading1"/>
      </w:pPr>
      <w:r>
        <w:t>Schedule B Commercial Terms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096"/>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Commercial Item</w:t>
            </w:r>
          </w:p>
        </w:tc>
        <w:tc>
          <w:tcPr>
            <w:tcW w:type="dxa" w:w="648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Agreed Terms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Platform Commission</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[PERCENTAGE OR FORMULA BY CATEGORY]</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Payment Processing Fee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[PERCENTAGE FIXED FEE AND TAX TREATMENT]</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Other Service Fees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[LIST OR NONE]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Merchant Funded Promotions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[APPROVAL PROCESS AND AMOUNT]</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Settlement Cycle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[FOR EXAMPLE WEEKLY PLUS NUMBER OF BANKING DAYS]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Minimum Payout</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[AMOUNT OR NONE]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Reserve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[PERCENTAGE EVENTS RELEASE PERIOD OR NONE]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Refund and Chargeback Allocation</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[RULES AND EVIDENCE]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Reconciliation Period</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[NUMBER OF DAYS]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Fee Change Notice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[NUMBER OF DAYS AND TERMINATION RIGHT]</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Withholding Documents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[BIR COR SWORN DECLARATION AND CERTIFICATES]</w:t>
            </w:r>
          </w:p>
        </w:tc>
      </w:tr>
    </w:tbl>
    <w:p>
      <w:pPr>
        <w:spacing w:after="0"/>
      </w:pPr>
    </w:p>
    <w:p>
      <w:pPr>
        <w:pStyle w:val="Heading1"/>
      </w:pPr>
      <w:r>
        <w:t>Schedule C Service and Fulfilment Standards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096"/>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Service Standard</w:t>
            </w:r>
          </w:p>
        </w:tc>
        <w:tc>
          <w:tcPr>
            <w:tcW w:type="dxa" w:w="648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Agreed Requirement</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Operating Hours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[DAYS AND HOURS INCLUDING HOLIDAYS]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Order Acceptance Time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[MINUTES]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Preparation or Service Time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[TIME BY CATEGORY]</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Inventory Update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[REAL TIME DAILY OR OTHER]</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Packaging</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[FOOD SAFE TAMPER EVIDENT FRAGILE OR OTHER REQUIREMENTS]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Delivery Model</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[MERCHANT PAHATUD COORDINATED CUSTOMER PICKUP OR MIXED]</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Handoff Verification</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[ORDER CODE RIDER ID PHOTO OR SIGNATURE]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Cancellation Rules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[CUSTOMER MERCHANT AND PLATFORM RULES]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Complaint Response Time</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[HOURS OR BUSINESS DAYS]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Voucher Redemption</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[VALIDATION PROCESS LOCATIONS AND EXCLUSIONS]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Booking Changes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[NOTICE RESCHEDULE NO SHOW AND CAPACITY RULES]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Support Contacts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[OPERATIONS AND ESCALATION CONTACTS]</w:t>
            </w:r>
          </w:p>
        </w:tc>
      </w:tr>
    </w:tbl>
    <w:p>
      <w:pPr>
        <w:spacing w:after="0"/>
      </w:pPr>
    </w:p>
    <w:p>
      <w:pPr>
        <w:pStyle w:val="Heading1"/>
      </w:pPr>
      <w:r>
        <w:t>Schedule D Data Responsibility Summary</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val="true"/>
        </w:trPr>
        <w:tc>
          <w:tcPr>
            <w:tcW w:type="dxa" w:w="3096"/>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Processing Detail</w:t>
            </w:r>
          </w:p>
        </w:tc>
        <w:tc>
          <w:tcPr>
            <w:tcW w:type="dxa" w:w="648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Agreed Scope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Pahatud Privacy Contact</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[NAME EMAIL AND MOBILE]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Merchant Privacy Contact</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[NAME EMAIL AND MOBILE]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Shared Data</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[CUSTOMER CONTACT ORDER LOCATION PAYMENT STATUS AND SUPPORT DATA]</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Permitted Merchant Uses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[FULFILMENT DELIVERY SUPPORT REFUND FRAUD AND LEGAL RECORDS]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Prohibited Uses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[UNRELATED MARKETING SALE DISCLOSURE OR PROFILING]</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Approved Processors</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[DELIVERY PAYMENT CLOUD OR SUPPORT PROVIDERS]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Retention</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[PER DATA CATEGORY AND LEGAL BASIS]</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sz w:val="18"/>
              </w:rPr>
              <w:t>Secure Disposal</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[METHOD AND RESPONSIBLE ROLE]</w:t>
            </w:r>
          </w:p>
        </w:tc>
      </w:tr>
      <w:tr>
        <w:trPr>
          <w:cantSplit w:val="true"/>
        </w:trPr>
        <w:tc>
          <w:tcPr>
            <w:tcW w:type="dxa" w:w="3096"/>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sz w:val="18"/>
              </w:rPr>
              <w:t>Incident Channel</w:t>
            </w:r>
          </w:p>
        </w:tc>
        <w:tc>
          <w:tcPr>
            <w:tcW w:type="dxa" w:w="648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[24 HOUR CONTACT AND ESCALATION PROCESS]</w:t>
            </w:r>
          </w:p>
        </w:tc>
      </w:tr>
    </w:tbl>
    <w:p>
      <w:pPr>
        <w:spacing w:after="0"/>
      </w:pPr>
    </w:p>
    <w:p>
      <w:r>
        <w:br w:type="page"/>
      </w:r>
    </w:p>
    <w:p>
      <w:pPr>
        <w:pStyle w:val="Heading1"/>
      </w:pPr>
      <w:r>
        <w:t>Signatures</w:t>
      </w:r>
    </w:p>
    <w:p>
      <w:pPr>
        <w:widowControl/>
      </w:pPr>
      <w:r>
        <w:t>Each signatory states that they are authorized to sign this Agreement. The Parties may sign counterparts and may use electronic signatures to the extent permitted by Philippine law.</w:t>
      </w:r>
    </w:p>
    <w:tbl>
      <w:tblPr>
        <w:tblW w:type="auto" w:w="0"/>
        <w:jc w:val="center"/>
        <w:tblLayout w:type="fixed"/>
        <w:tblLook w:firstColumn="1" w:firstRow="1" w:lastColumn="0" w:lastRow="0" w:noHBand="0" w:noVBand="1" w:val="04A0"/>
      </w:tblPr>
      <w:tblGrid>
        <w:gridCol w:w="4939"/>
        <w:gridCol w:w="4939"/>
      </w:tblGrid>
      <w:tr>
        <w:tc>
          <w:tcPr>
            <w:tcW w:type="dxa" w:w="4680"/>
            <w:tcMar>
              <w:top w:w="80" w:type="dxa"/>
              <w:start w:w="80" w:type="dxa"/>
              <w:bottom w:w="80" w:type="dxa"/>
              <w:end w:w="80" w:type="dxa"/>
            </w:tcMar>
          </w:tcPr>
          <w:p>
            <w:pPr>
              <w:spacing w:after="100"/>
            </w:pPr>
            <w:r>
              <w:rPr>
                <w:b/>
              </w:rPr>
              <w:t>PAHATUD</w:t>
            </w:r>
          </w:p>
          <w:p>
            <w:pPr>
              <w:spacing w:after="100"/>
            </w:pPr>
            <w:r>
              <w:br/>
              <w:t>__________________________________</w:t>
            </w:r>
          </w:p>
          <w:p>
            <w:pPr>
              <w:spacing w:after="100"/>
            </w:pPr>
            <w:r>
              <w:t xml:space="preserve">Name  </w:t>
            </w:r>
            <w:r>
              <w:rPr>
                <w:b/>
                <w:color w:val="D92722"/>
                <w:shd w:val="clear" w:color="auto" w:fill="FFF0EE"/>
              </w:rPr>
              <w:t>[NAME]</w:t>
            </w:r>
          </w:p>
          <w:p>
            <w:pPr>
              <w:spacing w:after="100"/>
            </w:pPr>
            <w:r>
              <w:t xml:space="preserve">Title  </w:t>
            </w:r>
            <w:r>
              <w:rPr>
                <w:b/>
                <w:color w:val="D92722"/>
                <w:shd w:val="clear" w:color="auto" w:fill="FFF0EE"/>
              </w:rPr>
              <w:t>[TITLE]</w:t>
            </w:r>
          </w:p>
          <w:p>
            <w:pPr>
              <w:spacing w:after="100"/>
            </w:pPr>
            <w:r>
              <w:t xml:space="preserve">Date  </w:t>
            </w:r>
            <w:r>
              <w:rPr>
                <w:b/>
                <w:color w:val="D92722"/>
                <w:shd w:val="clear" w:color="auto" w:fill="FFF0EE"/>
              </w:rPr>
              <w:t>[DATE]</w:t>
            </w:r>
          </w:p>
        </w:tc>
        <w:tc>
          <w:tcPr>
            <w:tcW w:type="dxa" w:w="4680"/>
            <w:tcMar>
              <w:top w:w="80" w:type="dxa"/>
              <w:start w:w="80" w:type="dxa"/>
              <w:bottom w:w="80" w:type="dxa"/>
              <w:end w:w="80" w:type="dxa"/>
            </w:tcMar>
          </w:tcPr>
          <w:p>
            <w:pPr>
              <w:spacing w:after="100"/>
            </w:pPr>
            <w:r>
              <w:rPr>
                <w:b/>
              </w:rPr>
              <w:t>MERCHANT</w:t>
            </w:r>
          </w:p>
          <w:p>
            <w:pPr>
              <w:spacing w:after="100"/>
            </w:pPr>
            <w:r>
              <w:br/>
              <w:t>__________________________________</w:t>
            </w:r>
          </w:p>
          <w:p>
            <w:pPr>
              <w:spacing w:after="100"/>
            </w:pPr>
            <w:r>
              <w:t xml:space="preserve">Name  </w:t>
            </w:r>
            <w:r>
              <w:rPr>
                <w:b/>
                <w:color w:val="D92722"/>
                <w:shd w:val="clear" w:color="auto" w:fill="FFF0EE"/>
              </w:rPr>
              <w:t>[NAME]</w:t>
            </w:r>
          </w:p>
          <w:p>
            <w:pPr>
              <w:spacing w:after="100"/>
            </w:pPr>
            <w:r>
              <w:t xml:space="preserve">Title  </w:t>
            </w:r>
            <w:r>
              <w:rPr>
                <w:b/>
                <w:color w:val="D92722"/>
                <w:shd w:val="clear" w:color="auto" w:fill="FFF0EE"/>
              </w:rPr>
              <w:t>[TITLE]</w:t>
            </w:r>
          </w:p>
          <w:p>
            <w:pPr>
              <w:spacing w:after="100"/>
            </w:pPr>
            <w:r>
              <w:t xml:space="preserve">Date  </w:t>
            </w:r>
            <w:r>
              <w:rPr>
                <w:b/>
                <w:color w:val="D92722"/>
                <w:shd w:val="clear" w:color="auto" w:fill="FFF0EE"/>
              </w:rPr>
              <w:t>[DATE]</w:t>
            </w:r>
          </w:p>
        </w:tc>
      </w:tr>
    </w:tbl>
    <w:p/>
    <w:p>
      <w:pPr>
        <w:jc w:val="center"/>
      </w:pPr>
      <w:r>
        <w:t>Signed in the presence of</w:t>
      </w:r>
    </w:p>
    <w:tbl>
      <w:tblPr>
        <w:tblW w:type="auto" w:w="0"/>
        <w:jc w:val="center"/>
        <w:tblLook w:firstColumn="1" w:firstRow="1" w:lastColumn="0" w:lastRow="0" w:noHBand="0" w:noVBand="1" w:val="04A0"/>
      </w:tblPr>
      <w:tblGrid>
        <w:gridCol w:w="4939"/>
        <w:gridCol w:w="4939"/>
      </w:tblGrid>
      <w:tr>
        <w:tc>
          <w:tcPr>
            <w:tcW w:type="dxa" w:w="4939"/>
            <w:tcMar>
              <w:top w:w="80" w:type="dxa"/>
              <w:start w:w="80" w:type="dxa"/>
              <w:bottom w:w="80" w:type="dxa"/>
              <w:end w:w="80" w:type="dxa"/>
            </w:tcMar>
          </w:tcPr>
          <w:p>
            <w:pPr>
              <w:jc w:val="center"/>
            </w:pPr>
            <w:r>
              <w:br/>
              <w:t>__________________________________</w:t>
              <w:br/>
              <w:t>Witness</w:t>
            </w:r>
          </w:p>
        </w:tc>
        <w:tc>
          <w:tcPr>
            <w:tcW w:type="dxa" w:w="4939"/>
            <w:tcMar>
              <w:top w:w="80" w:type="dxa"/>
              <w:start w:w="80" w:type="dxa"/>
              <w:bottom w:w="80" w:type="dxa"/>
              <w:end w:w="80" w:type="dxa"/>
            </w:tcMar>
          </w:tcPr>
          <w:p>
            <w:pPr>
              <w:jc w:val="center"/>
            </w:pPr>
            <w:r>
              <w:br/>
              <w:t>__________________________________</w:t>
              <w:br/>
              <w:t>Witness</w:t>
            </w:r>
          </w:p>
        </w:tc>
      </w:tr>
    </w:tbl>
    <w:p>
      <w:r>
        <w:br w:type="page"/>
      </w:r>
    </w:p>
    <w:p>
      <w:pPr>
        <w:pStyle w:val="Heading1"/>
      </w:pPr>
      <w:r>
        <w:t>Acknowledgment</w:t>
      </w:r>
    </w:p>
    <w:p>
      <w:pPr>
        <w:widowControl/>
      </w:pPr>
      <w:r>
        <w:t>REPUBLIC OF THE PHILIPPINES</w:t>
      </w:r>
    </w:p>
    <w:p>
      <w:pPr>
        <w:widowControl/>
      </w:pPr>
      <w:r>
        <w:t xml:space="preserve">CITY OR MUNICIPALITY OF </w:t>
      </w:r>
      <w:r>
        <w:rPr>
          <w:b/>
          <w:color w:val="D92722"/>
          <w:shd w:val="clear" w:color="auto" w:fill="FFF0EE"/>
        </w:rPr>
        <w:t>[PLACE]</w:t>
      </w:r>
      <w:r>
        <w:t xml:space="preserve">  ) S.S.</w:t>
      </w:r>
    </w:p>
    <w:p>
      <w:pPr>
        <w:widowControl/>
      </w:pPr>
      <w:r>
        <w:t xml:space="preserve">BEFORE ME, a Notary Public for and in </w:t>
      </w:r>
      <w:r>
        <w:rPr>
          <w:b/>
          <w:color w:val="D92722"/>
          <w:shd w:val="clear" w:color="auto" w:fill="FFF0EE"/>
        </w:rPr>
        <w:t>[PLACE]</w:t>
      </w:r>
      <w:r>
        <w:t xml:space="preserve">, this </w:t>
      </w:r>
      <w:r>
        <w:rPr>
          <w:b/>
          <w:color w:val="D92722"/>
          <w:shd w:val="clear" w:color="auto" w:fill="FFF0EE"/>
        </w:rPr>
        <w:t>[DATE]</w:t>
      </w:r>
      <w:r>
        <w:t>, personally appeared the following persons: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val="true"/>
        </w:trPr>
        <w:tc>
          <w:tcPr>
            <w:tcW w:type="dxa" w:w="2952"/>
            <w:shd w:fill="EF3B35"/>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Name</w:t>
            </w:r>
          </w:p>
        </w:tc>
        <w:tc>
          <w:tcPr>
            <w:tcW w:type="dxa" w:w="3312"/>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Government Identification</w:t>
            </w:r>
          </w:p>
        </w:tc>
        <w:tc>
          <w:tcPr>
            <w:tcW w:type="dxa" w:w="3240"/>
            <w:shd w:fill="171B1D"/>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jc w:val="left"/>
            </w:pPr>
            <w:r>
              <w:rPr>
                <w:rFonts w:ascii="Manrope" w:hAnsi="Manrope"/>
                <w:b/>
                <w:color w:val="FFFFFF"/>
                <w:sz w:val="19"/>
              </w:rPr>
              <w:t>Date and Place Issued</w:t>
            </w:r>
          </w:p>
        </w:tc>
      </w:tr>
      <w:tr>
        <w:trPr>
          <w:cantSplit w:val="true"/>
        </w:trPr>
        <w:tc>
          <w:tcPr>
            <w:tcW w:type="dxa" w:w="2952"/>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[PAHATUD SIGNATORY]</w:t>
            </w:r>
          </w:p>
        </w:tc>
        <w:tc>
          <w:tcPr>
            <w:tcW w:type="dxa" w:w="3312"/>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[ID TYPE AND NUMBER]</w:t>
            </w:r>
          </w:p>
        </w:tc>
        <w:tc>
          <w:tcPr>
            <w:tcW w:type="dxa" w:w="324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vAlign w:val="center"/>
          </w:tcPr>
          <w:p>
            <w:pPr>
              <w:spacing w:after="0"/>
            </w:pPr>
            <w:r>
              <w:rPr>
                <w:b/>
                <w:color w:val="D92722"/>
                <w:shd w:val="clear" w:color="auto" w:fill="FFF0EE"/>
              </w:rPr>
              <w:t>[DATE AND PLACE]</w:t>
            </w:r>
          </w:p>
        </w:tc>
      </w:tr>
      <w:tr>
        <w:trPr>
          <w:cantSplit w:val="true"/>
        </w:trPr>
        <w:tc>
          <w:tcPr>
            <w:tcW w:type="dxa" w:w="2952"/>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[MERCHANT SIGNATORY]</w:t>
            </w:r>
          </w:p>
        </w:tc>
        <w:tc>
          <w:tcPr>
            <w:tcW w:type="dxa" w:w="3312"/>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[ID TYPE AND NUMBER]</w:t>
            </w:r>
          </w:p>
        </w:tc>
        <w:tc>
          <w:tcPr>
            <w:tcW w:type="dxa" w:w="3240"/>
            <w:tcBorders>
              <w:top w:val="single" w:sz="6" w:space="0" w:color="E9E4DF"/>
              <w:left w:val="single" w:sz="6" w:space="0" w:color="E9E4DF"/>
              <w:bottom w:val="single" w:sz="6" w:space="0" w:color="E9E4DF"/>
              <w:right w:val="single" w:sz="6" w:space="0" w:color="E9E4DF"/>
              <w:insideH w:val="single" w:sz="6" w:space="0" w:color="E9E4DF"/>
              <w:insideV w:val="single" w:sz="6" w:space="0" w:color="E9E4DF"/>
            </w:tcBorders>
            <w:tcMar>
              <w:top w:w="100" w:type="dxa"/>
              <w:start w:w="110" w:type="dxa"/>
              <w:bottom w:w="100" w:type="dxa"/>
              <w:end w:w="110" w:type="dxa"/>
            </w:tcMar>
            <w:shd w:fill="FFF7F5"/>
            <w:vAlign w:val="center"/>
          </w:tcPr>
          <w:p>
            <w:pPr>
              <w:spacing w:after="0"/>
            </w:pPr>
            <w:r>
              <w:rPr>
                <w:b/>
                <w:color w:val="D92722"/>
                <w:shd w:val="clear" w:color="auto" w:fill="FFF0EE"/>
              </w:rPr>
              <w:t>[DATE AND PLACE]</w:t>
            </w:r>
          </w:p>
        </w:tc>
      </w:tr>
    </w:tbl>
    <w:p>
      <w:pPr>
        <w:spacing w:after="0"/>
      </w:pPr>
    </w:p>
    <w:p>
      <w:pPr>
        <w:widowControl/>
      </w:pPr>
      <w:r>
        <w:t>They are known to me or identified by the competent evidence of identity stated above and acknowledged that they signed this Agreement voluntarily and, when applicable, for the entities they represent.</w:t>
      </w:r>
    </w:p>
    <w:p>
      <w:pPr>
        <w:widowControl/>
      </w:pPr>
      <w:r>
        <w:t>WITNESS MY HAND AND NOTARIAL SEAL on the date and at the place stated above.</w:t>
      </w:r>
    </w:p>
    <w:p>
      <w:pPr>
        <w:widowControl/>
      </w:pPr>
      <w:r>
        <w:br/>
        <w:t>__________________________________</w:t>
        <w:br/>
        <w:t>Notary Public</w:t>
      </w:r>
    </w:p>
    <w:p>
      <w:pPr>
        <w:widowControl/>
      </w:pPr>
      <w:r>
        <w:t xml:space="preserve">Doc. No. </w:t>
      </w:r>
      <w:r>
        <w:rPr>
          <w:b/>
          <w:color w:val="D92722"/>
          <w:shd w:val="clear" w:color="auto" w:fill="FFF0EE"/>
        </w:rPr>
        <w:t>[NUMBER]</w:t>
      </w:r>
      <w:r>
        <w:br/>
        <w:t xml:space="preserve">Page No. </w:t>
      </w:r>
      <w:r>
        <w:rPr>
          <w:b/>
          <w:color w:val="D92722"/>
          <w:shd w:val="clear" w:color="auto" w:fill="FFF0EE"/>
        </w:rPr>
        <w:t>[NUMBER]</w:t>
      </w:r>
      <w:r>
        <w:br/>
        <w:t xml:space="preserve">Book No. </w:t>
      </w:r>
      <w:r>
        <w:rPr>
          <w:b/>
          <w:color w:val="D92722"/>
          <w:shd w:val="clear" w:color="auto" w:fill="FFF0EE"/>
        </w:rPr>
        <w:t>[NUMBER]</w:t>
      </w:r>
      <w:r>
        <w:br/>
        <w:t xml:space="preserve">Series of </w:t>
      </w:r>
      <w:r>
        <w:rPr>
          <w:b/>
          <w:color w:val="D92722"/>
          <w:shd w:val="clear" w:color="auto" w:fill="FFF0EE"/>
        </w:rPr>
        <w:t>[YEAR]</w:t>
      </w:r>
    </w:p>
    <w:sectPr w:rsidR="00FC693F" w:rsidRPr="0006063C" w:rsidSect="00034616">
      <w:headerReference w:type="default" r:id="rId9"/>
      <w:footerReference w:type="default" r:id="rId11"/>
      <w:pgSz w:w="12240" w:h="15840"/>
      <w:pgMar w:top="835" w:right="1181" w:bottom="979" w:left="1181"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DM Sans" w:hAnsi="DM Sans"/>
      <w:color w:val="171B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anrope" w:hAnsi="Manrope"/>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Manrope" w:hAnsi="Manrope"/>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Manrope" w:hAnsi="Manrope"/>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jc w:val="center"/>
    </w:pPr>
    <w:rPr>
      <w:rFonts w:asciiTheme="majorHAnsi" w:eastAsiaTheme="majorEastAsia" w:hAnsiTheme="majorHAnsi" w:cstheme="majorBidi" w:ascii="Manrope" w:hAnsi="Manrope"/>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Note">
    <w:name w:val="Contract Note"/>
    <w:pPr>
      <w:spacing w:after="160"/>
    </w:pPr>
    <w:rPr>
      <w:rFonts w:ascii="DM Sans" w:hAnsi="DM Sans"/>
      <w:i/>
      <w:color w:val="6A73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