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32.png" ContentType="image/png"/>
  <Override PartName="/word/media/rId37.png" ContentType="image/png"/>
  <Override PartName="/word/media/rId41.png" ContentType="image/png"/>
  <Override PartName="/word/media/rId45.png" ContentType="image/png"/>
  <Override PartName="/word/media/rId52.png" ContentType="image/png"/>
  <Override PartName="/word/media/rId56.png" ContentType="image/png"/>
  <Override PartName="/word/media/rId59.png" ContentType="image/png"/>
  <Override PartName="/word/media/rId63.png" ContentType="image/png"/>
  <Override PartName="/word/media/rId68.png" ContentType="image/png"/>
  <Override PartName="/word/media/rId75.png" ContentType="image/png"/>
  <Override PartName="/word/media/rId86.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Prévoir la production photovoltaïque journalière à Tunis : des liens du rapport SolarVision aux séries temporelles</w:t>
      </w:r>
    </w:p>
    <w:p>
      <w:pPr>
        <w:pStyle w:val="Subtitle"/>
      </w:pPr>
      <w:r>
        <w:t xml:space="preserve">Mini-projet Séries Temporelles pour Data Science &amp; IA - TEK-UP - option B (environnement et énergie)</w:t>
      </w:r>
    </w:p>
    <w:p>
      <w:pPr>
        <w:pStyle w:val="Author"/>
      </w:pPr>
      <w:r>
        <w:t xml:space="preserve">[Noms des membres du groupe]</w:t>
      </w:r>
    </w:p>
    <w:p>
      <w:pPr>
        <w:pStyle w:val="Date"/>
      </w:pPr>
      <w:r>
        <w:t xml:space="preserve">12 octobre 2026</w:t>
      </w:r>
    </w:p>
    <w:sdt>
      <w:sdtPr>
        <w:docPartObj>
          <w:docPartGallery w:val="Table of Contents"/>
          <w:docPartUnique/>
        </w:docPartObj>
      </w:sdtPr>
      <w:sdtContent>
        <w:p>
          <w:pPr>
            <w:pStyle w:val="TOCHeading"/>
          </w:pPr>
          <w:r>
            <w:t xml:space="preserve">Sommaire</w:t>
          </w:r>
        </w:p>
        <w:p>
          <w:r>
            <w:fldChar w:fldCharType="begin" w:dirty="true"/>
            <w:instrText xml:space="preserve">TOC \o "1-2" \h \z \u</w:instrText>
            <w:fldChar w:fldCharType="separate"/>
            <w:fldChar w:fldCharType="end"/>
          </w:r>
        </w:p>
      </w:sdtContent>
    </w:sdt>
    <w:bookmarkStart w:id="20" w:name="résumé"/>
    <w:p>
      <w:pPr>
        <w:pStyle w:val="Heading1"/>
      </w:pPr>
      <w:r>
        <w:t xml:space="preserve">Résumé</w:t>
      </w:r>
    </w:p>
    <w:p>
      <w:pPr>
        <w:pStyle w:val="FirstParagraph"/>
      </w:pPr>
      <w:r>
        <w:t xml:space="preserve">Ce projet part du rapport SolarVision, qui estimait la production solaire d’une toiture à Tunis avec une irradiation supposée de 1 800 kWh/m²/an « à remplacer par la valeur PVGIS ». Le lien PVGIS de ce rapport a été interrogé pour 9 villes (Paris, Lyon, Marseille, Tunis, Sfax, Tozeur, Madrid, Séville, Barcelone) sur 2005-2023, puis complété par trois sources de variables exogènes (Open-Meteo/ERA5, NASA POWER) et par les productions nationales mesurées en France et en Espagne. On obtient 14 jeux de données, dont 6 par pays et par thème (photovoltaïque, éclairement), et 58 variables par jour et par ville. La série étudiée est la production journalière d’une installation de 1 kWc à Tunis (6 939 jours). Quatorze modèles sont comparés sur 688 prévisions glissantes à 7 jours.</w:t>
      </w:r>
    </w:p>
    <w:p>
      <w:pPr>
        <w:pStyle w:val="BodyText"/>
      </w:pPr>
      <w:r>
        <w:t xml:space="preserve">Quatre résultats ressortent.</w:t>
      </w:r>
    </w:p>
    <w:p>
      <w:pPr>
        <w:pStyle w:val="Compact"/>
        <w:numPr>
          <w:ilvl w:val="0"/>
          <w:numId w:val="1001"/>
        </w:numPr>
      </w:pPr>
      <w:r>
        <w:rPr>
          <w:b/>
          <w:bCs/>
        </w:rPr>
        <w:t xml:space="preserve">Le chiffre du rapport SolarVision était juste pour le plan horizontal, pas pour des modules inclinés</w:t>
      </w:r>
      <w:r>
        <w:t xml:space="preserve"> </w:t>
      </w:r>
      <w:r>
        <w:t xml:space="preserve">: PVGIS donne 1 815 kWh/m²/an à l’horizontale, mais 2 045 sur le plan optimal à 33°, soit 31 700 kWh/an pour 100 m² au lieu de 28 800.</w:t>
      </w:r>
    </w:p>
    <w:p>
      <w:pPr>
        <w:pStyle w:val="Compact"/>
        <w:numPr>
          <w:ilvl w:val="0"/>
          <w:numId w:val="1001"/>
        </w:numPr>
      </w:pPr>
      <w:r>
        <w:rPr>
          <w:b/>
          <w:bCs/>
        </w:rPr>
        <w:t xml:space="preserve">Sans prévision météo, rien ne bat durablement la normale saisonnière.</w:t>
      </w:r>
      <w:r>
        <w:t xml:space="preserve"> </w:t>
      </w:r>
      <w:r>
        <w:t xml:space="preserve">Une fois le cycle annuel retiré, la série se comporte comme un AR(1) de coefficient 0,26. Le meilleur modèle (un LSTM entraîné sur les 9 villes) a un RMSE de 1,078 kWh/kWc contre 1,100 pour la climatologie ; l’écart est significatif à un jour, pas à sept jours.</w:t>
      </w:r>
    </w:p>
    <w:p>
      <w:pPr>
        <w:pStyle w:val="Compact"/>
        <w:numPr>
          <w:ilvl w:val="0"/>
          <w:numId w:val="1001"/>
        </w:numPr>
      </w:pPr>
      <w:r>
        <w:rPr>
          <w:b/>
          <w:bCs/>
        </w:rPr>
        <w:t xml:space="preserve">Connaître la météo à venir réduit l’erreur d’un tiers</w:t>
      </w:r>
      <w:r>
        <w:t xml:space="preserve"> </w:t>
      </w:r>
      <w:r>
        <w:t xml:space="preserve">(SARIMAX météo : 0,725 ; LSTM ex post : 0,699), une borne optimiste puisque la météo observée remplace une prévision.</w:t>
      </w:r>
    </w:p>
    <w:p>
      <w:pPr>
        <w:pStyle w:val="Compact"/>
        <w:numPr>
          <w:ilvl w:val="0"/>
          <w:numId w:val="1001"/>
        </w:numPr>
      </w:pPr>
      <w:r>
        <w:rPr>
          <w:b/>
          <w:bCs/>
        </w:rPr>
        <w:t xml:space="preserve">La variance des erreurs suit les saisons.</w:t>
      </w:r>
      <w:r>
        <w:t xml:space="preserve"> </w:t>
      </w:r>
      <w:r>
        <w:t xml:space="preserve">Un GARCH(1,1) l’interprète à tort comme une volatilité de persistance infinie (alpha + beta = 1,000) ; une variance saisonnière suivie d’un GARCH(1,1) passe tous les diagnostics et rend les intervalles fiables en hiver comme en été.</w:t>
      </w:r>
    </w:p>
    <w:p>
      <w:pPr>
        <w:pStyle w:val="FirstParagraph"/>
      </w:pPr>
      <w:r>
        <w:t xml:space="preserve">La cointégration ne s’applique pas aux séries de Tunis, stationnaires ; testée sur un cas réellement non stationnaire (production nationale française et espagnole), elle est rejetée. Le socle classique est codé en R et en Python, avec des RMSE identiques à 0,15 % près. Une application web (prévision avec saisie des derniers relevés, LSTM et ARIMA) et un assistant RAG complètent l’étude.</w:t>
      </w:r>
    </w:p>
    <w:bookmarkEnd w:id="20"/>
    <w:bookmarkStart w:id="21" w:name="introduction"/>
    <w:p>
      <w:pPr>
        <w:pStyle w:val="Heading1"/>
      </w:pPr>
      <w:r>
        <w:t xml:space="preserve">1. Introduction</w:t>
      </w:r>
    </w:p>
    <w:p>
      <w:pPr>
        <w:pStyle w:val="FirstParagraph"/>
      </w:pPr>
      <w:r>
        <w:rPr>
          <w:b/>
          <w:bCs/>
        </w:rPr>
        <w:t xml:space="preserve">Thématique et série retenues.</w:t>
      </w:r>
      <w:r>
        <w:t xml:space="preserve"> </w:t>
      </w:r>
      <w:r>
        <w:t xml:space="preserve">Nous avons choisi l’option B et la production photovoltaïque journalière de Tunis, parce que le rapport SolarVision que nous avions rédigé en vision par ordinateur s’arrêtait à un ordre de grandeur annuel, et que le lien PVGIS qu’il citait donnait accès à 19 ans de séries horaires : passer de cet ordre de grandeur à une prévision est un vrai problème de séries temporelles.</w:t>
      </w:r>
    </w:p>
    <w:p>
      <w:pPr>
        <w:pStyle w:val="BodyText"/>
      </w:pPr>
      <w:r>
        <w:rPr>
          <w:b/>
          <w:bCs/>
        </w:rPr>
        <w:t xml:space="preserve">Enjeu.</w:t>
      </w:r>
      <w:r>
        <w:t xml:space="preserve"> </w:t>
      </w:r>
      <w:r>
        <w:t xml:space="preserve">Un exploitant de toitures solaires a besoin de prévoir la production des jours suivants pour planifier le nettoyage et la maintenance, piloter une batterie ou s’engager auprès du réseau. Un architecte (l’utilisateur visé par SolarVision) a besoin d’un productible fiable pour dimensionner l’installation.</w:t>
      </w:r>
    </w:p>
    <w:p>
      <w:pPr>
        <w:pStyle w:val="BodyText"/>
      </w:pPr>
      <w:r>
        <w:rPr>
          <w:b/>
          <w:bCs/>
        </w:rPr>
        <w:t xml:space="preserve">Question de modélisation.</w:t>
      </w:r>
      <w:r>
        <w:t xml:space="preserve"> </w:t>
      </w:r>
      <w:r>
        <w:t xml:space="preserve">Peut-on prévoir à 7 jours la production journalière d’une installation photovoltaïque à Tunis, et que gagne-t-on à connaître la météo à venir ? Les huit autres villes servent de comparaison et d’apprentissage supplémentaire.</w:t>
      </w:r>
    </w:p>
    <w:p>
      <w:pPr>
        <w:pStyle w:val="BodyText"/>
      </w:pPr>
      <w:r>
        <w:rPr>
          <w:b/>
          <w:bCs/>
        </w:rPr>
        <w:t xml:space="preserve">Démarche.</w:t>
      </w:r>
      <w:r>
        <w:t xml:space="preserve"> </w:t>
      </w:r>
      <w:r>
        <w:t xml:space="preserve">Chaque choix (transformation, différenciation, ordres, variables, architecture) est justifié par un diagnostic. Les modèles sont comparés sur le même échantillon de test, avec les mêmes métriques et deux références naïves, et les écarts sont testés. Les résultats négatifs sont rapportés au même titre que les autres.</w:t>
      </w:r>
    </w:p>
    <w:bookmarkEnd w:id="21"/>
    <w:bookmarkStart w:id="25" w:name="données-et-préparation"/>
    <w:p>
      <w:pPr>
        <w:pStyle w:val="Heading1"/>
      </w:pPr>
      <w:r>
        <w:t xml:space="preserve">2. Données et préparation</w:t>
      </w:r>
    </w:p>
    <w:bookmarkStart w:id="22" w:name="Xe8d10a08b8c00781e181eab9954a45f9bde0af9"/>
    <w:p>
      <w:pPr>
        <w:pStyle w:val="Heading2"/>
      </w:pPr>
      <w:r>
        <w:t xml:space="preserve">2.1 Des liens du rapport SolarVision aux données</w:t>
      </w:r>
    </w:p>
    <w:p>
      <w:pPr>
        <w:pStyle w:val="FirstParagraph"/>
      </w:pPr>
      <w:r>
        <w:t xml:space="preserve">Le script</w:t>
      </w:r>
      <w:r>
        <w:t xml:space="preserve"> </w:t>
      </w:r>
      <w:r>
        <w:rPr>
          <w:rStyle w:val="VerbatimChar"/>
        </w:rPr>
        <w:t xml:space="preserve">python/collecte_donnees.py</w:t>
      </w:r>
      <w:r>
        <w:t xml:space="preserve"> </w:t>
      </w:r>
      <w:r>
        <w:t xml:space="preserve">lit les 21 hyperliens distincts du PDF du rapport, les classe et visite chacun d’eux (résultat archivé dans</w:t>
      </w:r>
      <w:r>
        <w:t xml:space="preserve"> </w:t>
      </w:r>
      <w:r>
        <w:rPr>
          <w:rStyle w:val="VerbatimChar"/>
        </w:rPr>
        <w:t xml:space="preserve">sources/liens_rapport_solarvision.json</w:t>
      </w:r>
      <w:r>
        <w:t xml:space="preserve">). Un seul donne accès à des séries temporelles :</w:t>
      </w:r>
      <w:r>
        <w:t xml:space="preserve"> </w:t>
      </w:r>
      <w:r>
        <w:rPr>
          <w:b/>
          <w:bCs/>
        </w:rPr>
        <w:t xml:space="preserve">PVGIS</w:t>
      </w:r>
      <w:r>
        <w:t xml:space="preserve"> </w:t>
      </w:r>
      <w:r>
        <w:t xml:space="preserve">(Commission européenne, JRC). Les 14 articles (arXiv, Nature, NeurIPS, PMC) ont fourni leur résumé au corpus de l’assistant ; les 5 jeux d’images aériennes (Inria, figshare, WHU, SpaceNet) ont seulement été décrits.</w:t>
      </w:r>
    </w:p>
    <w:p>
      <w:pPr>
        <w:pStyle w:val="TableCaption"/>
      </w:pPr>
      <w:r>
        <w:t xml:space="preserve">Sources de données.</w:t>
      </w:r>
    </w:p>
    <w:tbl>
      <w:tblPr>
        <w:tblStyle w:val="Table"/>
        <w:tblW w:type="pct" w:w="5000"/>
        <w:tblLayout w:type="fixed"/>
        <w:tblLook w:firstRow="1" w:lastRow="0" w:firstColumn="0" w:lastColumn="0" w:noHBand="0" w:noVBand="0" w:val="0020"/>
        <w:tblCaption w:val="Sources de données."/>
      </w:tblPr>
      <w:tblGrid>
        <w:gridCol w:w="2640"/>
        <w:gridCol w:w="2640"/>
        <w:gridCol w:w="2640"/>
      </w:tblGrid>
      <w:tr>
        <w:trPr>
          <w:tblHeader w:val="on"/>
        </w:trPr>
        <w:tc>
          <w:tcPr/>
          <w:p>
            <w:pPr>
              <w:pStyle w:val="Compact"/>
            </w:pPr>
            <w:r>
              <w:t xml:space="preserve">Source</w:t>
            </w:r>
          </w:p>
        </w:tc>
        <w:tc>
          <w:tcPr/>
          <w:p>
            <w:pPr>
              <w:pStyle w:val="Compact"/>
            </w:pPr>
            <w:r>
              <w:t xml:space="preserve">Contenu utilisé</w:t>
            </w:r>
          </w:p>
        </w:tc>
        <w:tc>
          <w:tcPr/>
          <w:p>
            <w:pPr>
              <w:pStyle w:val="Compact"/>
            </w:pPr>
            <w:r>
              <w:t xml:space="preserve">Fréquence</w:t>
            </w:r>
          </w:p>
        </w:tc>
      </w:tr>
      <w:tr>
        <w:tc>
          <w:tcPr/>
          <w:p>
            <w:pPr>
              <w:pStyle w:val="Compact"/>
            </w:pPr>
            <w:r>
              <w:t xml:space="preserve">PVGIS 5.3 (lien du rapport)</w:t>
            </w:r>
          </w:p>
        </w:tc>
        <w:tc>
          <w:tcPr/>
          <w:p>
            <w:pPr>
              <w:pStyle w:val="Compact"/>
            </w:pPr>
            <w:r>
              <w:t xml:space="preserve">puissance d’1 kWc, éclairement incliné et horizontal, hauteur du soleil, température, vent</w:t>
            </w:r>
          </w:p>
        </w:tc>
        <w:tc>
          <w:tcPr/>
          <w:p>
            <w:pPr>
              <w:pStyle w:val="Compact"/>
            </w:pPr>
            <w:r>
              <w:t xml:space="preserve">horaire</w:t>
            </w:r>
          </w:p>
        </w:tc>
      </w:tr>
      <w:tr>
        <w:tc>
          <w:tcPr/>
          <w:p>
            <w:pPr>
              <w:pStyle w:val="Compact"/>
            </w:pPr>
            <w:r>
              <w:t xml:space="preserve">Open-Meteo (réanalyse ERA5)</w:t>
            </w:r>
          </w:p>
        </w:tc>
        <w:tc>
          <w:tcPr/>
          <w:p>
            <w:pPr>
              <w:pStyle w:val="Compact"/>
            </w:pPr>
            <w:r>
              <w:t xml:space="preserve">nébulosité, ensoleillement, pluie, humidité, point de rosée, pression, rafales, ET0, rayonnement ERA5</w:t>
            </w:r>
          </w:p>
        </w:tc>
        <w:tc>
          <w:tcPr/>
          <w:p>
            <w:pPr>
              <w:pStyle w:val="Compact"/>
            </w:pPr>
            <w:r>
              <w:t xml:space="preserve">journalière</w:t>
            </w:r>
          </w:p>
        </w:tc>
      </w:tr>
      <w:tr>
        <w:tc>
          <w:tcPr/>
          <w:p>
            <w:pPr>
              <w:pStyle w:val="Compact"/>
            </w:pPr>
            <w:r>
              <w:t xml:space="preserve">NASA POWER (MERRA-2, CERES)</w:t>
            </w:r>
          </w:p>
        </w:tc>
        <w:tc>
          <w:tcPr/>
          <w:p>
            <w:pPr>
              <w:pStyle w:val="Compact"/>
            </w:pPr>
            <w:r>
              <w:t xml:space="preserve">rayonnement par ciel clair, indice de clarté, aérosols, UV, albédo, rayonnement photosynthétique</w:t>
            </w:r>
          </w:p>
        </w:tc>
        <w:tc>
          <w:tcPr/>
          <w:p>
            <w:pPr>
              <w:pStyle w:val="Compact"/>
            </w:pPr>
            <w:r>
              <w:t xml:space="preserve">journalière</w:t>
            </w:r>
          </w:p>
        </w:tc>
      </w:tr>
      <w:tr>
        <w:tc>
          <w:tcPr/>
          <w:p>
            <w:pPr>
              <w:pStyle w:val="Compact"/>
            </w:pPr>
            <w:r>
              <w:t xml:space="preserve">RTE éCO2mix, REE</w:t>
            </w:r>
          </w:p>
        </w:tc>
        <w:tc>
          <w:tcPr/>
          <w:p>
            <w:pPr>
              <w:pStyle w:val="Compact"/>
            </w:pPr>
            <w:r>
              <w:t xml:space="preserve">production solaire nationale mesurée en France et en Espagne</w:t>
            </w:r>
          </w:p>
        </w:tc>
        <w:tc>
          <w:tcPr/>
          <w:p>
            <w:pPr>
              <w:pStyle w:val="Compact"/>
            </w:pPr>
            <w:r>
              <w:t xml:space="preserve">30 min et journalière</w:t>
            </w:r>
          </w:p>
        </w:tc>
      </w:tr>
    </w:tbl>
    <w:p>
      <w:pPr>
        <w:pStyle w:val="BodyText"/>
      </w:pPr>
      <w:r>
        <w:rPr>
          <w:b/>
          <w:bCs/>
        </w:rPr>
        <w:t xml:space="preserve">Période :</w:t>
      </w:r>
      <w:r>
        <w:t xml:space="preserve"> </w:t>
      </w:r>
      <w:r>
        <w:t xml:space="preserve">2005-2023 (couverture de la base satellitaire PVGIS-SARAH3), soit 6 939 jours par ville ; 2012-2026 pour RTE, 2014-2026 pour REE.</w:t>
      </w:r>
      <w:r>
        <w:t xml:space="preserve"> </w:t>
      </w:r>
      <w:r>
        <w:rPr>
          <w:b/>
          <w:bCs/>
        </w:rPr>
        <w:t xml:space="preserve">Installation simulée :</w:t>
      </w:r>
      <w:r>
        <w:t xml:space="preserve"> </w:t>
      </w:r>
      <w:r>
        <w:t xml:space="preserve">1 kWc de modules au silicium cristallin, plein sud, à la pente optimale de chaque site (33° pour les trois villes tunisiennes, 35 à 39° ailleurs), avec 14 % de pertes système.</w:t>
      </w:r>
    </w:p>
    <w:bookmarkEnd w:id="22"/>
    <w:bookmarkStart w:id="23" w:name="jeux-de-données-et-variables"/>
    <w:p>
      <w:pPr>
        <w:pStyle w:val="Heading2"/>
      </w:pPr>
      <w:r>
        <w:t xml:space="preserve">2.2 Jeux de données et variables</w:t>
      </w:r>
    </w:p>
    <w:p>
      <w:pPr>
        <w:pStyle w:val="TableCaption"/>
      </w:pPr>
      <w:r>
        <w:t xml:space="preserve">Les 14 jeux de données construits (data/datasets/).</w:t>
      </w:r>
    </w:p>
    <w:tbl>
      <w:tblPr>
        <w:tblStyle w:val="Table"/>
        <w:tblW w:type="pct" w:w="5000"/>
        <w:tblLayout w:type="fixed"/>
        <w:tblLook w:firstRow="1" w:lastRow="0" w:firstColumn="0" w:lastColumn="0" w:noHBand="0" w:noVBand="0" w:val="0020"/>
        <w:tblCaption w:val="Les 14 jeux de données construits (data/datasets/)."/>
      </w:tblPr>
      <w:tblGrid>
        <w:gridCol w:w="1320"/>
        <w:gridCol w:w="1320"/>
        <w:gridCol w:w="1320"/>
        <w:gridCol w:w="1320"/>
        <w:gridCol w:w="1320"/>
        <w:gridCol w:w="1320"/>
      </w:tblGrid>
      <w:tr>
        <w:trPr>
          <w:tblHeader w:val="on"/>
        </w:trPr>
        <w:tc>
          <w:tcPr/>
          <w:p>
            <w:pPr>
              <w:pStyle w:val="Compact"/>
            </w:pPr>
            <w:r>
              <w:t xml:space="preserve">Fichier</w:t>
            </w:r>
          </w:p>
        </w:tc>
        <w:tc>
          <w:tcPr/>
          <w:p>
            <w:pPr>
              <w:pStyle w:val="Compact"/>
            </w:pPr>
            <w:r>
              <w:t xml:space="preserve">Thème</w:t>
            </w:r>
          </w:p>
        </w:tc>
        <w:tc>
          <w:tcPr/>
          <w:p>
            <w:pPr>
              <w:pStyle w:val="Compact"/>
            </w:pPr>
            <w:r>
              <w:t xml:space="preserve">Pays</w:t>
            </w:r>
          </w:p>
        </w:tc>
        <w:tc>
          <w:tcPr/>
          <w:p>
            <w:pPr>
              <w:pStyle w:val="Compact"/>
            </w:pPr>
            <w:r>
              <w:t xml:space="preserve">Lignes</w:t>
            </w:r>
          </w:p>
        </w:tc>
        <w:tc>
          <w:tcPr/>
          <w:p>
            <w:pPr>
              <w:pStyle w:val="Compact"/>
            </w:pPr>
            <w:r>
              <w:t xml:space="preserve">Colonnes</w:t>
            </w:r>
          </w:p>
        </w:tc>
        <w:tc>
          <w:tcPr/>
          <w:p>
            <w:pPr>
              <w:pStyle w:val="Compact"/>
            </w:pPr>
            <w:r>
              <w:t xml:space="preserve">Période</w:t>
            </w:r>
          </w:p>
        </w:tc>
      </w:tr>
      <w:tr>
        <w:tc>
          <w:tcPr/>
          <w:p>
            <w:pPr>
              <w:pStyle w:val="Compact"/>
            </w:pPr>
            <w:r>
              <w:rPr>
                <w:rStyle w:val="VerbatimChar"/>
              </w:rPr>
              <w:t xml:space="preserve">fr_photovoltaique_journalier.csv</w:t>
            </w:r>
          </w:p>
        </w:tc>
        <w:tc>
          <w:tcPr/>
          <w:p>
            <w:pPr>
              <w:pStyle w:val="Compact"/>
            </w:pPr>
            <w:r>
              <w:t xml:space="preserve">photovoltaïque</w:t>
            </w:r>
          </w:p>
        </w:tc>
        <w:tc>
          <w:tcPr/>
          <w:p>
            <w:pPr>
              <w:pStyle w:val="Compact"/>
            </w:pPr>
            <w:r>
              <w:t xml:space="preserve">France</w:t>
            </w:r>
          </w:p>
        </w:tc>
        <w:tc>
          <w:tcPr/>
          <w:p>
            <w:pPr>
              <w:pStyle w:val="Compact"/>
            </w:pPr>
            <w:r>
              <w:t xml:space="preserve">20 817</w:t>
            </w:r>
          </w:p>
        </w:tc>
        <w:tc>
          <w:tcPr/>
          <w:p>
            <w:pPr>
              <w:pStyle w:val="Compact"/>
            </w:pPr>
            <w:r>
              <w:t xml:space="preserve">43</w:t>
            </w:r>
          </w:p>
        </w:tc>
        <w:tc>
          <w:tcPr/>
          <w:p>
            <w:pPr>
              <w:pStyle w:val="Compact"/>
            </w:pPr>
            <w:r>
              <w:t xml:space="preserve">2005-01 à 2023-12</w:t>
            </w:r>
          </w:p>
        </w:tc>
      </w:tr>
      <w:tr>
        <w:tc>
          <w:tcPr/>
          <w:p>
            <w:pPr>
              <w:pStyle w:val="Compact"/>
            </w:pPr>
            <w:r>
              <w:rPr>
                <w:rStyle w:val="VerbatimChar"/>
              </w:rPr>
              <w:t xml:space="preserve">fr_eclairement_journalier.csv</w:t>
            </w:r>
          </w:p>
        </w:tc>
        <w:tc>
          <w:tcPr/>
          <w:p>
            <w:pPr>
              <w:pStyle w:val="Compact"/>
            </w:pPr>
            <w:r>
              <w:t xml:space="preserve">éclairement</w:t>
            </w:r>
          </w:p>
        </w:tc>
        <w:tc>
          <w:tcPr/>
          <w:p>
            <w:pPr>
              <w:pStyle w:val="Compact"/>
            </w:pPr>
            <w:r>
              <w:t xml:space="preserve">France</w:t>
            </w:r>
          </w:p>
        </w:tc>
        <w:tc>
          <w:tcPr/>
          <w:p>
            <w:pPr>
              <w:pStyle w:val="Compact"/>
            </w:pPr>
            <w:r>
              <w:t xml:space="preserve">20 817</w:t>
            </w:r>
          </w:p>
        </w:tc>
        <w:tc>
          <w:tcPr/>
          <w:p>
            <w:pPr>
              <w:pStyle w:val="Compact"/>
            </w:pPr>
            <w:r>
              <w:t xml:space="preserve">44</w:t>
            </w:r>
          </w:p>
        </w:tc>
        <w:tc>
          <w:tcPr/>
          <w:p>
            <w:pPr>
              <w:pStyle w:val="Compact"/>
            </w:pPr>
            <w:r>
              <w:t xml:space="preserve">2005-01 à 2023-12</w:t>
            </w:r>
          </w:p>
        </w:tc>
      </w:tr>
      <w:tr>
        <w:tc>
          <w:tcPr/>
          <w:p>
            <w:pPr>
              <w:pStyle w:val="Compact"/>
            </w:pPr>
            <w:r>
              <w:rPr>
                <w:rStyle w:val="VerbatimChar"/>
              </w:rPr>
              <w:t xml:space="preserve">tn_photovoltaique_journalier.csv</w:t>
            </w:r>
          </w:p>
        </w:tc>
        <w:tc>
          <w:tcPr/>
          <w:p>
            <w:pPr>
              <w:pStyle w:val="Compact"/>
            </w:pPr>
            <w:r>
              <w:t xml:space="preserve">photovoltaïque</w:t>
            </w:r>
          </w:p>
        </w:tc>
        <w:tc>
          <w:tcPr/>
          <w:p>
            <w:pPr>
              <w:pStyle w:val="Compact"/>
            </w:pPr>
            <w:r>
              <w:t xml:space="preserve">Tunisie</w:t>
            </w:r>
          </w:p>
        </w:tc>
        <w:tc>
          <w:tcPr/>
          <w:p>
            <w:pPr>
              <w:pStyle w:val="Compact"/>
            </w:pPr>
            <w:r>
              <w:t xml:space="preserve">20 817</w:t>
            </w:r>
          </w:p>
        </w:tc>
        <w:tc>
          <w:tcPr/>
          <w:p>
            <w:pPr>
              <w:pStyle w:val="Compact"/>
            </w:pPr>
            <w:r>
              <w:t xml:space="preserve">43</w:t>
            </w:r>
          </w:p>
        </w:tc>
        <w:tc>
          <w:tcPr/>
          <w:p>
            <w:pPr>
              <w:pStyle w:val="Compact"/>
            </w:pPr>
            <w:r>
              <w:t xml:space="preserve">2005-01 à 2023-12</w:t>
            </w:r>
          </w:p>
        </w:tc>
      </w:tr>
      <w:tr>
        <w:tc>
          <w:tcPr/>
          <w:p>
            <w:pPr>
              <w:pStyle w:val="Compact"/>
            </w:pPr>
            <w:r>
              <w:rPr>
                <w:rStyle w:val="VerbatimChar"/>
              </w:rPr>
              <w:t xml:space="preserve">tn_eclairement_journalier.csv</w:t>
            </w:r>
          </w:p>
        </w:tc>
        <w:tc>
          <w:tcPr/>
          <w:p>
            <w:pPr>
              <w:pStyle w:val="Compact"/>
            </w:pPr>
            <w:r>
              <w:t xml:space="preserve">éclairement</w:t>
            </w:r>
          </w:p>
        </w:tc>
        <w:tc>
          <w:tcPr/>
          <w:p>
            <w:pPr>
              <w:pStyle w:val="Compact"/>
            </w:pPr>
            <w:r>
              <w:t xml:space="preserve">Tunisie</w:t>
            </w:r>
          </w:p>
        </w:tc>
        <w:tc>
          <w:tcPr/>
          <w:p>
            <w:pPr>
              <w:pStyle w:val="Compact"/>
            </w:pPr>
            <w:r>
              <w:t xml:space="preserve">20 817</w:t>
            </w:r>
          </w:p>
        </w:tc>
        <w:tc>
          <w:tcPr/>
          <w:p>
            <w:pPr>
              <w:pStyle w:val="Compact"/>
            </w:pPr>
            <w:r>
              <w:t xml:space="preserve">44</w:t>
            </w:r>
          </w:p>
        </w:tc>
        <w:tc>
          <w:tcPr/>
          <w:p>
            <w:pPr>
              <w:pStyle w:val="Compact"/>
            </w:pPr>
            <w:r>
              <w:t xml:space="preserve">2005-01 à 2023-12</w:t>
            </w:r>
          </w:p>
        </w:tc>
      </w:tr>
      <w:tr>
        <w:tc>
          <w:tcPr/>
          <w:p>
            <w:pPr>
              <w:pStyle w:val="Compact"/>
            </w:pPr>
            <w:r>
              <w:rPr>
                <w:rStyle w:val="VerbatimChar"/>
              </w:rPr>
              <w:t xml:space="preserve">es_photovoltaique_journalier.csv</w:t>
            </w:r>
          </w:p>
        </w:tc>
        <w:tc>
          <w:tcPr/>
          <w:p>
            <w:pPr>
              <w:pStyle w:val="Compact"/>
            </w:pPr>
            <w:r>
              <w:t xml:space="preserve">photovoltaïque</w:t>
            </w:r>
          </w:p>
        </w:tc>
        <w:tc>
          <w:tcPr/>
          <w:p>
            <w:pPr>
              <w:pStyle w:val="Compact"/>
            </w:pPr>
            <w:r>
              <w:t xml:space="preserve">Espagne</w:t>
            </w:r>
          </w:p>
        </w:tc>
        <w:tc>
          <w:tcPr/>
          <w:p>
            <w:pPr>
              <w:pStyle w:val="Compact"/>
            </w:pPr>
            <w:r>
              <w:t xml:space="preserve">20 817</w:t>
            </w:r>
          </w:p>
        </w:tc>
        <w:tc>
          <w:tcPr/>
          <w:p>
            <w:pPr>
              <w:pStyle w:val="Compact"/>
            </w:pPr>
            <w:r>
              <w:t xml:space="preserve">43</w:t>
            </w:r>
          </w:p>
        </w:tc>
        <w:tc>
          <w:tcPr/>
          <w:p>
            <w:pPr>
              <w:pStyle w:val="Compact"/>
            </w:pPr>
            <w:r>
              <w:t xml:space="preserve">2005-01 à 2023-12</w:t>
            </w:r>
          </w:p>
        </w:tc>
      </w:tr>
      <w:tr>
        <w:tc>
          <w:tcPr/>
          <w:p>
            <w:pPr>
              <w:pStyle w:val="Compact"/>
            </w:pPr>
            <w:r>
              <w:rPr>
                <w:rStyle w:val="VerbatimChar"/>
              </w:rPr>
              <w:t xml:space="preserve">es_eclairement_journalier.csv</w:t>
            </w:r>
          </w:p>
        </w:tc>
        <w:tc>
          <w:tcPr/>
          <w:p>
            <w:pPr>
              <w:pStyle w:val="Compact"/>
            </w:pPr>
            <w:r>
              <w:t xml:space="preserve">éclairement</w:t>
            </w:r>
          </w:p>
        </w:tc>
        <w:tc>
          <w:tcPr/>
          <w:p>
            <w:pPr>
              <w:pStyle w:val="Compact"/>
            </w:pPr>
            <w:r>
              <w:t xml:space="preserve">Espagne</w:t>
            </w:r>
          </w:p>
        </w:tc>
        <w:tc>
          <w:tcPr/>
          <w:p>
            <w:pPr>
              <w:pStyle w:val="Compact"/>
            </w:pPr>
            <w:r>
              <w:t xml:space="preserve">20 817</w:t>
            </w:r>
          </w:p>
        </w:tc>
        <w:tc>
          <w:tcPr/>
          <w:p>
            <w:pPr>
              <w:pStyle w:val="Compact"/>
            </w:pPr>
            <w:r>
              <w:t xml:space="preserve">44</w:t>
            </w:r>
          </w:p>
        </w:tc>
        <w:tc>
          <w:tcPr/>
          <w:p>
            <w:pPr>
              <w:pStyle w:val="Compact"/>
            </w:pPr>
            <w:r>
              <w:t xml:space="preserve">2005-01 à 2023-12</w:t>
            </w:r>
          </w:p>
        </w:tc>
      </w:tr>
      <w:tr>
        <w:tc>
          <w:tcPr/>
          <w:p>
            <w:pPr>
              <w:pStyle w:val="Compact"/>
            </w:pPr>
            <w:r>
              <w:rPr>
                <w:rStyle w:val="VerbatimChar"/>
              </w:rPr>
              <w:t xml:space="preserve">panel_9_villes_journalier.csv</w:t>
            </w:r>
          </w:p>
        </w:tc>
        <w:tc>
          <w:tcPr/>
          <w:p>
            <w:pPr>
              <w:pStyle w:val="Compact"/>
            </w:pPr>
            <w:r>
              <w:t xml:space="preserve">photovoltaïque et éclairement</w:t>
            </w:r>
          </w:p>
        </w:tc>
        <w:tc>
          <w:tcPr/>
          <w:p>
            <w:pPr>
              <w:pStyle w:val="Compact"/>
            </w:pPr>
            <w:r>
              <w:t xml:space="preserve">France, Tunisie, Espagne</w:t>
            </w:r>
          </w:p>
        </w:tc>
        <w:tc>
          <w:tcPr/>
          <w:p>
            <w:pPr>
              <w:pStyle w:val="Compact"/>
            </w:pPr>
            <w:r>
              <w:t xml:space="preserve">62 451</w:t>
            </w:r>
          </w:p>
        </w:tc>
        <w:tc>
          <w:tcPr/>
          <w:p>
            <w:pPr>
              <w:pStyle w:val="Compact"/>
            </w:pPr>
            <w:r>
              <w:t xml:space="preserve">65</w:t>
            </w:r>
          </w:p>
        </w:tc>
        <w:tc>
          <w:tcPr/>
          <w:p>
            <w:pPr>
              <w:pStyle w:val="Compact"/>
            </w:pPr>
            <w:r>
              <w:t xml:space="preserve">2005-01 à 2023-12</w:t>
            </w:r>
          </w:p>
        </w:tc>
      </w:tr>
      <w:tr>
        <w:tc>
          <w:tcPr/>
          <w:p>
            <w:pPr>
              <w:pStyle w:val="Compact"/>
            </w:pPr>
            <w:r>
              <w:rPr>
                <w:rStyle w:val="VerbatimChar"/>
              </w:rPr>
              <w:t xml:space="preserve">mensuel_9_villes.csv</w:t>
            </w:r>
          </w:p>
        </w:tc>
        <w:tc>
          <w:tcPr/>
          <w:p>
            <w:pPr>
              <w:pStyle w:val="Compact"/>
            </w:pPr>
            <w:r>
              <w:t xml:space="preserve">photovoltaïque et éclairement</w:t>
            </w:r>
          </w:p>
        </w:tc>
        <w:tc>
          <w:tcPr/>
          <w:p>
            <w:pPr>
              <w:pStyle w:val="Compact"/>
            </w:pPr>
            <w:r>
              <w:t xml:space="preserve">France, Tunisie, Espagne</w:t>
            </w:r>
          </w:p>
        </w:tc>
        <w:tc>
          <w:tcPr/>
          <w:p>
            <w:pPr>
              <w:pStyle w:val="Compact"/>
            </w:pPr>
            <w:r>
              <w:t xml:space="preserve">2 052</w:t>
            </w:r>
          </w:p>
        </w:tc>
        <w:tc>
          <w:tcPr/>
          <w:p>
            <w:pPr>
              <w:pStyle w:val="Compact"/>
            </w:pPr>
            <w:r>
              <w:t xml:space="preserve">47</w:t>
            </w:r>
          </w:p>
        </w:tc>
        <w:tc>
          <w:tcPr/>
          <w:p>
            <w:pPr>
              <w:pStyle w:val="Compact"/>
            </w:pPr>
            <w:r>
              <w:t xml:space="preserve">2005-01 à 2023-12</w:t>
            </w:r>
          </w:p>
        </w:tc>
      </w:tr>
      <w:tr>
        <w:tc>
          <w:tcPr/>
          <w:p>
            <w:pPr>
              <w:pStyle w:val="Compact"/>
            </w:pPr>
            <w:r>
              <w:rPr>
                <w:rStyle w:val="VerbatimChar"/>
              </w:rPr>
              <w:t xml:space="preserve">climatologie_9_villes.csv</w:t>
            </w:r>
          </w:p>
        </w:tc>
        <w:tc>
          <w:tcPr/>
          <w:p>
            <w:pPr>
              <w:pStyle w:val="Compact"/>
            </w:pPr>
            <w:r>
              <w:t xml:space="preserve">photovoltaïque et éclairement</w:t>
            </w:r>
          </w:p>
        </w:tc>
        <w:tc>
          <w:tcPr/>
          <w:p>
            <w:pPr>
              <w:pStyle w:val="Compact"/>
            </w:pPr>
            <w:r>
              <w:t xml:space="preserve">France, Tunisie, Espagne</w:t>
            </w:r>
          </w:p>
        </w:tc>
        <w:tc>
          <w:tcPr/>
          <w:p>
            <w:pPr>
              <w:pStyle w:val="Compact"/>
            </w:pPr>
            <w:r>
              <w:t xml:space="preserve">3 294</w:t>
            </w:r>
          </w:p>
        </w:tc>
        <w:tc>
          <w:tcPr/>
          <w:p>
            <w:pPr>
              <w:pStyle w:val="Compact"/>
            </w:pPr>
            <w:r>
              <w:t xml:space="preserve">39</w:t>
            </w:r>
          </w:p>
        </w:tc>
        <w:tc>
          <w:tcPr/>
          <w:p>
            <w:pPr>
              <w:pStyle w:val="Compact"/>
            </w:pPr>
            <w:r>
              <w:t xml:space="preserve">-</w:t>
            </w:r>
          </w:p>
        </w:tc>
      </w:tr>
      <w:tr>
        <w:tc>
          <w:tcPr/>
          <w:p>
            <w:pPr>
              <w:pStyle w:val="Compact"/>
            </w:pPr>
            <w:r>
              <w:rPr>
                <w:rStyle w:val="VerbatimChar"/>
              </w:rPr>
              <w:t xml:space="preserve">horaire_9_villes_2023.csv.gz</w:t>
            </w:r>
          </w:p>
        </w:tc>
        <w:tc>
          <w:tcPr/>
          <w:p>
            <w:pPr>
              <w:pStyle w:val="Compact"/>
            </w:pPr>
            <w:r>
              <w:t xml:space="preserve">photovoltaïque et éclairement</w:t>
            </w:r>
          </w:p>
        </w:tc>
        <w:tc>
          <w:tcPr/>
          <w:p>
            <w:pPr>
              <w:pStyle w:val="Compact"/>
            </w:pPr>
            <w:r>
              <w:t xml:space="preserve">France, Tunisie, Espagne</w:t>
            </w:r>
          </w:p>
        </w:tc>
        <w:tc>
          <w:tcPr/>
          <w:p>
            <w:pPr>
              <w:pStyle w:val="Compact"/>
            </w:pPr>
            <w:r>
              <w:t xml:space="preserve">78 840</w:t>
            </w:r>
          </w:p>
        </w:tc>
        <w:tc>
          <w:tcPr/>
          <w:p>
            <w:pPr>
              <w:pStyle w:val="Compact"/>
            </w:pPr>
            <w:r>
              <w:t xml:space="preserve">48</w:t>
            </w:r>
          </w:p>
        </w:tc>
        <w:tc>
          <w:tcPr/>
          <w:p>
            <w:pPr>
              <w:pStyle w:val="Compact"/>
            </w:pPr>
            <w:r>
              <w:t xml:space="preserve">2023-01 à 2023-12</w:t>
            </w:r>
          </w:p>
        </w:tc>
      </w:tr>
      <w:tr>
        <w:tc>
          <w:tcPr/>
          <w:p>
            <w:pPr>
              <w:pStyle w:val="Compact"/>
            </w:pPr>
            <w:r>
              <w:rPr>
                <w:rStyle w:val="VerbatimChar"/>
              </w:rPr>
              <w:t xml:space="preserve">tmy_9_villes.csv</w:t>
            </w:r>
          </w:p>
        </w:tc>
        <w:tc>
          <w:tcPr/>
          <w:p>
            <w:pPr>
              <w:pStyle w:val="Compact"/>
            </w:pPr>
            <w:r>
              <w:t xml:space="preserve">éclairement</w:t>
            </w:r>
          </w:p>
        </w:tc>
        <w:tc>
          <w:tcPr/>
          <w:p>
            <w:pPr>
              <w:pStyle w:val="Compact"/>
            </w:pPr>
            <w:r>
              <w:t xml:space="preserve">France, Tunisie, Espagne</w:t>
            </w:r>
          </w:p>
        </w:tc>
        <w:tc>
          <w:tcPr/>
          <w:p>
            <w:pPr>
              <w:pStyle w:val="Compact"/>
            </w:pPr>
            <w:r>
              <w:t xml:space="preserve">78 840</w:t>
            </w:r>
          </w:p>
        </w:tc>
        <w:tc>
          <w:tcPr/>
          <w:p>
            <w:pPr>
              <w:pStyle w:val="Compact"/>
            </w:pPr>
            <w:r>
              <w:t xml:space="preserve">36</w:t>
            </w:r>
          </w:p>
        </w:tc>
        <w:tc>
          <w:tcPr/>
          <w:p>
            <w:pPr>
              <w:pStyle w:val="Compact"/>
            </w:pPr>
            <w:r>
              <w:t xml:space="preserve">2023-01 à 2023-12</w:t>
            </w:r>
          </w:p>
        </w:tc>
      </w:tr>
      <w:tr>
        <w:tc>
          <w:tcPr/>
          <w:p>
            <w:pPr>
              <w:pStyle w:val="Compact"/>
            </w:pPr>
            <w:r>
              <w:rPr>
                <w:rStyle w:val="VerbatimChar"/>
              </w:rPr>
              <w:t xml:space="preserve">pvgis_orientations_9_villes.csv</w:t>
            </w:r>
          </w:p>
        </w:tc>
        <w:tc>
          <w:tcPr/>
          <w:p>
            <w:pPr>
              <w:pStyle w:val="Compact"/>
            </w:pPr>
            <w:r>
              <w:t xml:space="preserve">photovoltaïque</w:t>
            </w:r>
          </w:p>
        </w:tc>
        <w:tc>
          <w:tcPr/>
          <w:p>
            <w:pPr>
              <w:pStyle w:val="Compact"/>
            </w:pPr>
            <w:r>
              <w:t xml:space="preserve">France, Tunisie, Espagne</w:t>
            </w:r>
          </w:p>
        </w:tc>
        <w:tc>
          <w:tcPr/>
          <w:p>
            <w:pPr>
              <w:pStyle w:val="Compact"/>
            </w:pPr>
            <w:r>
              <w:t xml:space="preserve">2 916</w:t>
            </w:r>
          </w:p>
        </w:tc>
        <w:tc>
          <w:tcPr/>
          <w:p>
            <w:pPr>
              <w:pStyle w:val="Compact"/>
            </w:pPr>
            <w:r>
              <w:t xml:space="preserve">29</w:t>
            </w:r>
          </w:p>
        </w:tc>
        <w:tc>
          <w:tcPr/>
          <w:p>
            <w:pPr>
              <w:pStyle w:val="Compact"/>
            </w:pPr>
            <w:r>
              <w:t xml:space="preserve">-</w:t>
            </w:r>
          </w:p>
        </w:tc>
      </w:tr>
      <w:tr>
        <w:tc>
          <w:tcPr/>
          <w:p>
            <w:pPr>
              <w:pStyle w:val="Compact"/>
            </w:pPr>
            <w:r>
              <w:rPr>
                <w:rStyle w:val="VerbatimChar"/>
              </w:rPr>
              <w:t xml:space="preserve">fr_solaire_national_rte_journalier.csv</w:t>
            </w:r>
          </w:p>
        </w:tc>
        <w:tc>
          <w:tcPr/>
          <w:p>
            <w:pPr>
              <w:pStyle w:val="Compact"/>
            </w:pPr>
            <w:r>
              <w:t xml:space="preserve">photovoltaïque (mesuré)</w:t>
            </w:r>
          </w:p>
        </w:tc>
        <w:tc>
          <w:tcPr/>
          <w:p>
            <w:pPr>
              <w:pStyle w:val="Compact"/>
            </w:pPr>
            <w:r>
              <w:t xml:space="preserve">France</w:t>
            </w:r>
          </w:p>
        </w:tc>
        <w:tc>
          <w:tcPr/>
          <w:p>
            <w:pPr>
              <w:pStyle w:val="Compact"/>
            </w:pPr>
            <w:r>
              <w:t xml:space="preserve">5 357</w:t>
            </w:r>
          </w:p>
        </w:tc>
        <w:tc>
          <w:tcPr/>
          <w:p>
            <w:pPr>
              <w:pStyle w:val="Compact"/>
            </w:pPr>
            <w:r>
              <w:t xml:space="preserve">39</w:t>
            </w:r>
          </w:p>
        </w:tc>
        <w:tc>
          <w:tcPr/>
          <w:p>
            <w:pPr>
              <w:pStyle w:val="Compact"/>
            </w:pPr>
            <w:r>
              <w:t xml:space="preserve">2012-01 à 2026-08</w:t>
            </w:r>
          </w:p>
        </w:tc>
      </w:tr>
      <w:tr>
        <w:tc>
          <w:tcPr/>
          <w:p>
            <w:pPr>
              <w:pStyle w:val="Compact"/>
            </w:pPr>
            <w:r>
              <w:rPr>
                <w:rStyle w:val="VerbatimChar"/>
              </w:rPr>
              <w:t xml:space="preserve">es_fotovoltaica_ree_journalier.csv</w:t>
            </w:r>
          </w:p>
        </w:tc>
        <w:tc>
          <w:tcPr/>
          <w:p>
            <w:pPr>
              <w:pStyle w:val="Compact"/>
            </w:pPr>
            <w:r>
              <w:t xml:space="preserve">photovoltaïque (mesuré)</w:t>
            </w:r>
          </w:p>
        </w:tc>
        <w:tc>
          <w:tcPr/>
          <w:p>
            <w:pPr>
              <w:pStyle w:val="Compact"/>
            </w:pPr>
            <w:r>
              <w:t xml:space="preserve">Espagne</w:t>
            </w:r>
          </w:p>
        </w:tc>
        <w:tc>
          <w:tcPr/>
          <w:p>
            <w:pPr>
              <w:pStyle w:val="Compact"/>
            </w:pPr>
            <w:r>
              <w:t xml:space="preserve">4 666</w:t>
            </w:r>
          </w:p>
        </w:tc>
        <w:tc>
          <w:tcPr/>
          <w:p>
            <w:pPr>
              <w:pStyle w:val="Compact"/>
            </w:pPr>
            <w:r>
              <w:t xml:space="preserve">37</w:t>
            </w:r>
          </w:p>
        </w:tc>
        <w:tc>
          <w:tcPr/>
          <w:p>
            <w:pPr>
              <w:pStyle w:val="Compact"/>
            </w:pPr>
            <w:r>
              <w:t xml:space="preserve">2014-01 à 2026-10</w:t>
            </w:r>
          </w:p>
        </w:tc>
      </w:tr>
    </w:tbl>
    <w:p>
      <w:pPr>
        <w:pStyle w:val="BodyText"/>
      </w:pPr>
      <w:r>
        <w:t xml:space="preserve">Les variables journalières (58 par ville, 64 colonnes dans le panel) se regroupent en sept familles : production (énergie, pic, heures de production, ratio de performance) ; éclairement énergétique (global, direct, diffus, sur le plan des modules et à l’horizontale) ;</w:t>
      </w:r>
      <w:r>
        <w:t xml:space="preserve"> </w:t>
      </w:r>
      <w:r>
        <w:rPr>
          <w:b/>
          <w:bCs/>
        </w:rPr>
        <w:t xml:space="preserve">éclairage naturel</w:t>
      </w:r>
      <w:r>
        <w:t xml:space="preserve">, calculé à partir des composantes horizontales (éclairement lumineux maximal en klux, heures au-dessus de 10 000 lux, dose lumineuse, heures où un éclairage artificiel est nécessaire) ; météo ERA5 ; aérosols, clarté et UV de NASA POWER ; grandeurs astronomiques connues à l’avance (rayonnement extraterrestre, durée du jour, hauteur du soleil à midi) ; retards (veille, moyenne et écart-type des 7 derniers jours). Le dictionnaire complet est dans</w:t>
      </w:r>
      <w:r>
        <w:t xml:space="preserve"> </w:t>
      </w:r>
      <w:r>
        <w:rPr>
          <w:rStyle w:val="VerbatimChar"/>
        </w:rPr>
        <w:t xml:space="preserve">data/LISEZMOI_donnees.md</w:t>
      </w:r>
      <w:r>
        <w:t xml:space="preserve">.</w:t>
      </w:r>
    </w:p>
    <w:p>
      <w:pPr>
        <w:pStyle w:val="BodyText"/>
      </w:pPr>
      <w:r>
        <w:rPr>
          <w:b/>
          <w:bCs/>
        </w:rPr>
        <w:t xml:space="preserve">Transformations du fournisseur.</w:t>
      </w:r>
      <w:r>
        <w:t xml:space="preserve"> </w:t>
      </w:r>
      <w:r>
        <w:t xml:space="preserve">Le rayonnement PVGIS est estimé par satellite (SARAH3, EUMETSAT) et non mesuré au sol ; la température et le vent viennent de la réanalyse ERA5 ; la puissance est simulée par le modèle de Huld et al. (2011), qui tient compte de la température des modules et des effets spectraux. L’horodatage est en temps universel : à ces longitudes, aucune heure de soleil n’est coupée par minuit UTC, les sommes journalières sont donc exactes.</w:t>
      </w:r>
    </w:p>
    <w:p>
      <w:pPr>
        <w:pStyle w:val="BodyText"/>
      </w:pPr>
      <w:r>
        <w:rPr>
          <w:b/>
          <w:bCs/>
        </w:rPr>
        <w:t xml:space="preserve">Contrôle qualité.</w:t>
      </w:r>
      <w:r>
        <w:t xml:space="preserve"> </w:t>
      </w:r>
      <w:r>
        <w:t xml:space="preserve">Deux contrôles de cohérence ont révélé 11 à 13 jours par ville où PVGIS renvoie un rayonnement nul alors que le soleil est levé : la hauteur du soleil fournie par PVGIS y est inférieure de plus de 5° à la hauteur astronomique (contre moins de 3° les jours normaux), ou l’irradiation PVGIS vaut moins du quart de celles de NASA POWER et d’ERA5. Ce sont des trous de la base satellitaire, traités en section 3.5.</w:t>
      </w:r>
    </w:p>
    <w:p>
      <w:pPr>
        <w:pStyle w:val="BodyText"/>
      </w:pPr>
      <w:r>
        <w:rPr>
          <w:b/>
          <w:bCs/>
        </w:rPr>
        <w:t xml:space="preserve">Objet série temporelle et découpage.</w:t>
      </w:r>
      <w:r>
        <w:t xml:space="preserve"> </w:t>
      </w:r>
      <w:r>
        <w:rPr>
          <w:rStyle w:val="VerbatimChar"/>
        </w:rPr>
        <w:t xml:space="preserve">DatetimeIndex</w:t>
      </w:r>
      <w:r>
        <w:t xml:space="preserve"> </w:t>
      </w:r>
      <w:r>
        <w:t xml:space="preserve">de fréquence journalière en Python, objet</w:t>
      </w:r>
      <w:r>
        <w:t xml:space="preserve"> </w:t>
      </w:r>
      <w:r>
        <w:rPr>
          <w:rStyle w:val="VerbatimChar"/>
        </w:rPr>
        <w:t xml:space="preserve">ts</w:t>
      </w:r>
      <w:r>
        <w:t xml:space="preserve"> </w:t>
      </w:r>
      <w:r>
        <w:t xml:space="preserve">de fréquence 365,25 en R. Découpage chronologique : 6 245 jours d’apprentissage (1er janvier 2005 au 5 février 2022) et 694 jours de test (6 février 2022 au 31 décembre 2023), soit près de deux années complètes.</w:t>
      </w:r>
    </w:p>
    <w:bookmarkEnd w:id="23"/>
    <w:bookmarkStart w:id="24" w:name="Xd1013db2bbe86fd82538fded194296036565a4b"/>
    <w:p>
      <w:pPr>
        <w:pStyle w:val="Heading2"/>
      </w:pPr>
      <w:r>
        <w:t xml:space="preserve">2.3 Ce que PVGIS change au rapport SolarVision</w:t>
      </w:r>
    </w:p>
    <w:p>
      <w:pPr>
        <w:pStyle w:val="TableCaption"/>
      </w:pPr>
      <w:r>
        <w:t xml:space="preserve">Synthèse PVGIS (outil PVcalc et moyennes 2005-2023 ; 100 m² = 20 kWc pour des modules de rendement 20 %).</w:t>
      </w:r>
    </w:p>
    <w:tbl>
      <w:tblPr>
        <w:tblStyle w:val="Table"/>
        <w:tblW w:type="pct" w:w="5000"/>
        <w:tblLayout w:type="fixed"/>
        <w:tblLook w:firstRow="1" w:lastRow="0" w:firstColumn="0" w:lastColumn="0" w:noHBand="0" w:noVBand="0" w:val="0020"/>
        <w:tblCaption w:val="Synthèse PVGIS (outil PVcalc et moyennes 2005-2023 ; 100 m² = 20 kWc pour des modules de rendement 20 %)."/>
      </w:tblPr>
      <w:tblGrid>
        <w:gridCol w:w="1320"/>
        <w:gridCol w:w="1320"/>
        <w:gridCol w:w="1320"/>
        <w:gridCol w:w="1320"/>
        <w:gridCol w:w="1320"/>
        <w:gridCol w:w="1320"/>
      </w:tblGrid>
      <w:tr>
        <w:trPr>
          <w:tblHeader w:val="on"/>
        </w:trPr>
        <w:tc>
          <w:tcPr/>
          <w:p>
            <w:pPr>
              <w:pStyle w:val="Compact"/>
            </w:pPr>
            <w:r>
              <w:t xml:space="preserve">Ville</w:t>
            </w:r>
          </w:p>
        </w:tc>
        <w:tc>
          <w:tcPr/>
          <w:p>
            <w:pPr>
              <w:pStyle w:val="Compact"/>
            </w:pPr>
            <w:r>
              <w:t xml:space="preserve">Pente optimale</w:t>
            </w:r>
          </w:p>
        </w:tc>
        <w:tc>
          <w:tcPr/>
          <w:p>
            <w:pPr>
              <w:pStyle w:val="Compact"/>
            </w:pPr>
            <w:r>
              <w:t xml:space="preserve">Irradiation horizontale (kWh/m²/an)</w:t>
            </w:r>
          </w:p>
        </w:tc>
        <w:tc>
          <w:tcPr/>
          <w:p>
            <w:pPr>
              <w:pStyle w:val="Compact"/>
            </w:pPr>
            <w:r>
              <w:t xml:space="preserve">Irradiation sur le plan (kWh/m²/an)</w:t>
            </w:r>
          </w:p>
        </w:tc>
        <w:tc>
          <w:tcPr/>
          <w:p>
            <w:pPr>
              <w:pStyle w:val="Compact"/>
            </w:pPr>
            <w:r>
              <w:t xml:space="preserve">Productible (kWh/kWc/an)</w:t>
            </w:r>
          </w:p>
        </w:tc>
        <w:tc>
          <w:tcPr/>
          <w:p>
            <w:pPr>
              <w:pStyle w:val="Compact"/>
            </w:pPr>
            <w:r>
              <w:t xml:space="preserve">100 m² (kWh/an)</w:t>
            </w:r>
          </w:p>
        </w:tc>
      </w:tr>
      <w:tr>
        <w:tc>
          <w:tcPr/>
          <w:p>
            <w:pPr>
              <w:pStyle w:val="Compact"/>
            </w:pPr>
            <w:r>
              <w:t xml:space="preserve">Paris</w:t>
            </w:r>
          </w:p>
        </w:tc>
        <w:tc>
          <w:tcPr/>
          <w:p>
            <w:pPr>
              <w:pStyle w:val="Compact"/>
            </w:pPr>
            <w:r>
              <w:t xml:space="preserve">38°</w:t>
            </w:r>
          </w:p>
        </w:tc>
        <w:tc>
          <w:tcPr/>
          <w:p>
            <w:pPr>
              <w:pStyle w:val="Compact"/>
            </w:pPr>
            <w:r>
              <w:t xml:space="preserve">1 211</w:t>
            </w:r>
          </w:p>
        </w:tc>
        <w:tc>
          <w:tcPr/>
          <w:p>
            <w:pPr>
              <w:pStyle w:val="Compact"/>
            </w:pPr>
            <w:r>
              <w:t xml:space="preserve">1 415</w:t>
            </w:r>
          </w:p>
        </w:tc>
        <w:tc>
          <w:tcPr/>
          <w:p>
            <w:pPr>
              <w:pStyle w:val="Compact"/>
            </w:pPr>
            <w:r>
              <w:t xml:space="preserve">1 131</w:t>
            </w:r>
          </w:p>
        </w:tc>
        <w:tc>
          <w:tcPr/>
          <w:p>
            <w:pPr>
              <w:pStyle w:val="Compact"/>
            </w:pPr>
            <w:r>
              <w:t xml:space="preserve">22 619</w:t>
            </w:r>
          </w:p>
        </w:tc>
      </w:tr>
      <w:tr>
        <w:tc>
          <w:tcPr/>
          <w:p>
            <w:pPr>
              <w:pStyle w:val="Compact"/>
            </w:pPr>
            <w:r>
              <w:t xml:space="preserve">Lyon</w:t>
            </w:r>
          </w:p>
        </w:tc>
        <w:tc>
          <w:tcPr/>
          <w:p>
            <w:pPr>
              <w:pStyle w:val="Compact"/>
            </w:pPr>
            <w:r>
              <w:t xml:space="preserve">37°</w:t>
            </w:r>
          </w:p>
        </w:tc>
        <w:tc>
          <w:tcPr/>
          <w:p>
            <w:pPr>
              <w:pStyle w:val="Compact"/>
            </w:pPr>
            <w:r>
              <w:t xml:space="preserve">1 392</w:t>
            </w:r>
          </w:p>
        </w:tc>
        <w:tc>
          <w:tcPr/>
          <w:p>
            <w:pPr>
              <w:pStyle w:val="Compact"/>
            </w:pPr>
            <w:r>
              <w:t xml:space="preserve">1 632</w:t>
            </w:r>
          </w:p>
        </w:tc>
        <w:tc>
          <w:tcPr/>
          <w:p>
            <w:pPr>
              <w:pStyle w:val="Compact"/>
            </w:pPr>
            <w:r>
              <w:t xml:space="preserve">1 289</w:t>
            </w:r>
          </w:p>
        </w:tc>
        <w:tc>
          <w:tcPr/>
          <w:p>
            <w:pPr>
              <w:pStyle w:val="Compact"/>
            </w:pPr>
            <w:r>
              <w:t xml:space="preserve">25 787</w:t>
            </w:r>
          </w:p>
        </w:tc>
      </w:tr>
      <w:tr>
        <w:tc>
          <w:tcPr/>
          <w:p>
            <w:pPr>
              <w:pStyle w:val="Compact"/>
            </w:pPr>
            <w:r>
              <w:t xml:space="preserve">Marseille</w:t>
            </w:r>
          </w:p>
        </w:tc>
        <w:tc>
          <w:tcPr/>
          <w:p>
            <w:pPr>
              <w:pStyle w:val="Compact"/>
            </w:pPr>
            <w:r>
              <w:t xml:space="preserve">39°</w:t>
            </w:r>
          </w:p>
        </w:tc>
        <w:tc>
          <w:tcPr/>
          <w:p>
            <w:pPr>
              <w:pStyle w:val="Compact"/>
            </w:pPr>
            <w:r>
              <w:t xml:space="preserve">1 692</w:t>
            </w:r>
          </w:p>
        </w:tc>
        <w:tc>
          <w:tcPr/>
          <w:p>
            <w:pPr>
              <w:pStyle w:val="Compact"/>
            </w:pPr>
            <w:r>
              <w:t xml:space="preserve">2 033</w:t>
            </w:r>
          </w:p>
        </w:tc>
        <w:tc>
          <w:tcPr/>
          <w:p>
            <w:pPr>
              <w:pStyle w:val="Compact"/>
            </w:pPr>
            <w:r>
              <w:t xml:space="preserve">1 627</w:t>
            </w:r>
          </w:p>
        </w:tc>
        <w:tc>
          <w:tcPr/>
          <w:p>
            <w:pPr>
              <w:pStyle w:val="Compact"/>
            </w:pPr>
            <w:r>
              <w:t xml:space="preserve">32 547</w:t>
            </w:r>
          </w:p>
        </w:tc>
      </w:tr>
      <w:tr>
        <w:tc>
          <w:tcPr/>
          <w:p>
            <w:pPr>
              <w:pStyle w:val="Compact"/>
            </w:pPr>
            <w:r>
              <w:rPr>
                <w:b/>
                <w:bCs/>
              </w:rPr>
              <w:t xml:space="preserve">Tunis</w:t>
            </w:r>
          </w:p>
        </w:tc>
        <w:tc>
          <w:tcPr/>
          <w:p>
            <w:pPr>
              <w:pStyle w:val="Compact"/>
            </w:pPr>
            <w:r>
              <w:t xml:space="preserve">33°</w:t>
            </w:r>
          </w:p>
        </w:tc>
        <w:tc>
          <w:tcPr/>
          <w:p>
            <w:pPr>
              <w:pStyle w:val="Compact"/>
            </w:pPr>
            <w:r>
              <w:rPr>
                <w:b/>
                <w:bCs/>
              </w:rPr>
              <w:t xml:space="preserve">1 815</w:t>
            </w:r>
          </w:p>
        </w:tc>
        <w:tc>
          <w:tcPr/>
          <w:p>
            <w:pPr>
              <w:pStyle w:val="Compact"/>
            </w:pPr>
            <w:r>
              <w:rPr>
                <w:b/>
                <w:bCs/>
              </w:rPr>
              <w:t xml:space="preserve">2 045</w:t>
            </w:r>
          </w:p>
        </w:tc>
        <w:tc>
          <w:tcPr/>
          <w:p>
            <w:pPr>
              <w:pStyle w:val="Compact"/>
            </w:pPr>
            <w:r>
              <w:rPr>
                <w:b/>
                <w:bCs/>
              </w:rPr>
              <w:t xml:space="preserve">1 585</w:t>
            </w:r>
          </w:p>
        </w:tc>
        <w:tc>
          <w:tcPr/>
          <w:p>
            <w:pPr>
              <w:pStyle w:val="Compact"/>
            </w:pPr>
            <w:r>
              <w:rPr>
                <w:b/>
                <w:bCs/>
              </w:rPr>
              <w:t xml:space="preserve">31 694</w:t>
            </w:r>
          </w:p>
        </w:tc>
      </w:tr>
      <w:tr>
        <w:tc>
          <w:tcPr/>
          <w:p>
            <w:pPr>
              <w:pStyle w:val="Compact"/>
            </w:pPr>
            <w:r>
              <w:t xml:space="preserve">Sfax</w:t>
            </w:r>
          </w:p>
        </w:tc>
        <w:tc>
          <w:tcPr/>
          <w:p>
            <w:pPr>
              <w:pStyle w:val="Compact"/>
            </w:pPr>
            <w:r>
              <w:t xml:space="preserve">33°</w:t>
            </w:r>
          </w:p>
        </w:tc>
        <w:tc>
          <w:tcPr/>
          <w:p>
            <w:pPr>
              <w:pStyle w:val="Compact"/>
            </w:pPr>
            <w:r>
              <w:t xml:space="preserve">1 925</w:t>
            </w:r>
          </w:p>
        </w:tc>
        <w:tc>
          <w:tcPr/>
          <w:p>
            <w:pPr>
              <w:pStyle w:val="Compact"/>
            </w:pPr>
            <w:r>
              <w:t xml:space="preserve">2 177</w:t>
            </w:r>
          </w:p>
        </w:tc>
        <w:tc>
          <w:tcPr/>
          <w:p>
            <w:pPr>
              <w:pStyle w:val="Compact"/>
            </w:pPr>
            <w:r>
              <w:t xml:space="preserve">1 700</w:t>
            </w:r>
          </w:p>
        </w:tc>
        <w:tc>
          <w:tcPr/>
          <w:p>
            <w:pPr>
              <w:pStyle w:val="Compact"/>
            </w:pPr>
            <w:r>
              <w:t xml:space="preserve">34 000</w:t>
            </w:r>
          </w:p>
        </w:tc>
      </w:tr>
      <w:tr>
        <w:tc>
          <w:tcPr/>
          <w:p>
            <w:pPr>
              <w:pStyle w:val="Compact"/>
            </w:pPr>
            <w:r>
              <w:t xml:space="preserve">Tozeur</w:t>
            </w:r>
          </w:p>
        </w:tc>
        <w:tc>
          <w:tcPr/>
          <w:p>
            <w:pPr>
              <w:pStyle w:val="Compact"/>
            </w:pPr>
            <w:r>
              <w:t xml:space="preserve">33°</w:t>
            </w:r>
          </w:p>
        </w:tc>
        <w:tc>
          <w:tcPr/>
          <w:p>
            <w:pPr>
              <w:pStyle w:val="Compact"/>
            </w:pPr>
            <w:r>
              <w:t xml:space="preserve">2 063</w:t>
            </w:r>
          </w:p>
        </w:tc>
        <w:tc>
          <w:tcPr/>
          <w:p>
            <w:pPr>
              <w:pStyle w:val="Compact"/>
            </w:pPr>
            <w:r>
              <w:t xml:space="preserve">2 342</w:t>
            </w:r>
          </w:p>
        </w:tc>
        <w:tc>
          <w:tcPr/>
          <w:p>
            <w:pPr>
              <w:pStyle w:val="Compact"/>
            </w:pPr>
            <w:r>
              <w:t xml:space="preserve">1 785</w:t>
            </w:r>
          </w:p>
        </w:tc>
        <w:tc>
          <w:tcPr/>
          <w:p>
            <w:pPr>
              <w:pStyle w:val="Compact"/>
            </w:pPr>
            <w:r>
              <w:t xml:space="preserve">35 708</w:t>
            </w:r>
          </w:p>
        </w:tc>
      </w:tr>
      <w:tr>
        <w:tc>
          <w:tcPr/>
          <w:p>
            <w:pPr>
              <w:pStyle w:val="Compact"/>
            </w:pPr>
            <w:r>
              <w:t xml:space="preserve">Madrid</w:t>
            </w:r>
          </w:p>
        </w:tc>
        <w:tc>
          <w:tcPr/>
          <w:p>
            <w:pPr>
              <w:pStyle w:val="Compact"/>
            </w:pPr>
            <w:r>
              <w:t xml:space="preserve">37°</w:t>
            </w:r>
          </w:p>
        </w:tc>
        <w:tc>
          <w:tcPr/>
          <w:p>
            <w:pPr>
              <w:pStyle w:val="Compact"/>
            </w:pPr>
            <w:r>
              <w:t xml:space="preserve">1 783</w:t>
            </w:r>
          </w:p>
        </w:tc>
        <w:tc>
          <w:tcPr/>
          <w:p>
            <w:pPr>
              <w:pStyle w:val="Compact"/>
            </w:pPr>
            <w:r>
              <w:t xml:space="preserve">2 094</w:t>
            </w:r>
          </w:p>
        </w:tc>
        <w:tc>
          <w:tcPr/>
          <w:p>
            <w:pPr>
              <w:pStyle w:val="Compact"/>
            </w:pPr>
            <w:r>
              <w:t xml:space="preserve">1 620</w:t>
            </w:r>
          </w:p>
        </w:tc>
        <w:tc>
          <w:tcPr/>
          <w:p>
            <w:pPr>
              <w:pStyle w:val="Compact"/>
            </w:pPr>
            <w:r>
              <w:t xml:space="preserve">32 406</w:t>
            </w:r>
          </w:p>
        </w:tc>
      </w:tr>
      <w:tr>
        <w:tc>
          <w:tcPr/>
          <w:p>
            <w:pPr>
              <w:pStyle w:val="Compact"/>
            </w:pPr>
            <w:r>
              <w:t xml:space="preserve">Séville</w:t>
            </w:r>
          </w:p>
        </w:tc>
        <w:tc>
          <w:tcPr/>
          <w:p>
            <w:pPr>
              <w:pStyle w:val="Compact"/>
            </w:pPr>
            <w:r>
              <w:t xml:space="preserve">35°</w:t>
            </w:r>
          </w:p>
        </w:tc>
        <w:tc>
          <w:tcPr/>
          <w:p>
            <w:pPr>
              <w:pStyle w:val="Compact"/>
            </w:pPr>
            <w:r>
              <w:t xml:space="preserve">1 907</w:t>
            </w:r>
          </w:p>
        </w:tc>
        <w:tc>
          <w:tcPr/>
          <w:p>
            <w:pPr>
              <w:pStyle w:val="Compact"/>
            </w:pPr>
            <w:r>
              <w:t xml:space="preserve">2 201</w:t>
            </w:r>
          </w:p>
        </w:tc>
        <w:tc>
          <w:tcPr/>
          <w:p>
            <w:pPr>
              <w:pStyle w:val="Compact"/>
            </w:pPr>
            <w:r>
              <w:t xml:space="preserve">1 672</w:t>
            </w:r>
          </w:p>
        </w:tc>
        <w:tc>
          <w:tcPr/>
          <w:p>
            <w:pPr>
              <w:pStyle w:val="Compact"/>
            </w:pPr>
            <w:r>
              <w:t xml:space="preserve">33 435</w:t>
            </w:r>
          </w:p>
        </w:tc>
      </w:tr>
      <w:tr>
        <w:tc>
          <w:tcPr/>
          <w:p>
            <w:pPr>
              <w:pStyle w:val="Compact"/>
            </w:pPr>
            <w:r>
              <w:t xml:space="preserve">Barcelone</w:t>
            </w:r>
          </w:p>
        </w:tc>
        <w:tc>
          <w:tcPr/>
          <w:p>
            <w:pPr>
              <w:pStyle w:val="Compact"/>
            </w:pPr>
            <w:r>
              <w:t xml:space="preserve">38°</w:t>
            </w:r>
          </w:p>
        </w:tc>
        <w:tc>
          <w:tcPr/>
          <w:p>
            <w:pPr>
              <w:pStyle w:val="Compact"/>
            </w:pPr>
            <w:r>
              <w:t xml:space="preserve">1 665</w:t>
            </w:r>
          </w:p>
        </w:tc>
        <w:tc>
          <w:tcPr/>
          <w:p>
            <w:pPr>
              <w:pStyle w:val="Compact"/>
            </w:pPr>
            <w:r>
              <w:t xml:space="preserve">1 976</w:t>
            </w:r>
          </w:p>
        </w:tc>
        <w:tc>
          <w:tcPr/>
          <w:p>
            <w:pPr>
              <w:pStyle w:val="Compact"/>
            </w:pPr>
            <w:r>
              <w:t xml:space="preserve">1 571</w:t>
            </w:r>
          </w:p>
        </w:tc>
        <w:tc>
          <w:tcPr/>
          <w:p>
            <w:pPr>
              <w:pStyle w:val="Compact"/>
            </w:pPr>
            <w:r>
              <w:t xml:space="preserve">31 423</w:t>
            </w:r>
          </w:p>
        </w:tc>
      </w:tr>
    </w:tbl>
    <w:p>
      <w:pPr>
        <w:pStyle w:val="BodyText"/>
      </w:pPr>
      <w:r>
        <w:t xml:space="preserve">Le rapport SolarVision supposait G = 1 800 kWh/m²/an, un rendement de 20 % et un ratio de performance de 0,8, soit 28 800 kWh/an pour 100 m² et 156 m² pour couvrir 45 000 kWh/an. PVGIS confirme l’irradiation horizontale (1 815), mais des modules inclinés à 33° reçoivent 13 % de plus ; avec les pertes calculées par PVGIS (22,5 %, soit un ratio de performance de 0,78), on obtient 31 694 kWh/an et</w:t>
      </w:r>
      <w:r>
        <w:t xml:space="preserve"> </w:t>
      </w:r>
      <w:r>
        <w:rPr>
          <w:b/>
          <w:bCs/>
        </w:rPr>
        <w:t xml:space="preserve">142 m²</w:t>
      </w:r>
      <w:r>
        <w:t xml:space="preserve"> </w:t>
      </w:r>
      <w:r>
        <w:t xml:space="preserve">au lieu de 156. L’erreur du rapport ne venait pas du chiffre, mais du plan auquel il s’appliquait.</w:t>
      </w:r>
    </w:p>
    <w:bookmarkEnd w:id="24"/>
    <w:bookmarkEnd w:id="25"/>
    <w:bookmarkStart w:id="51" w:name="analyse-exploratoire"/>
    <w:p>
      <w:pPr>
        <w:pStyle w:val="Heading1"/>
      </w:pPr>
      <w:r>
        <w:t xml:space="preserve">3. Analyse exploratoire</w:t>
      </w:r>
    </w:p>
    <w:bookmarkStart w:id="35" w:name="visualisation"/>
    <w:p>
      <w:pPr>
        <w:pStyle w:val="Heading2"/>
      </w:pPr>
      <w:r>
        <w:t xml:space="preserve">3.1 Visualisation</w:t>
      </w:r>
    </w:p>
    <w:p>
      <w:pPr>
        <w:pStyle w:val="CaptionedFigure"/>
      </w:pPr>
      <w:r>
        <w:drawing>
          <wp:inline>
            <wp:extent cx="5039999" cy="3755294"/>
            <wp:effectExtent b="0" l="0" r="0" t="0"/>
            <wp:docPr descr="Production d’1 kWc, éclairement horizontal, nébulosité et température à Tunis, 2005-2023" title="" id="27" name="Picture"/>
            <a:graphic>
              <a:graphicData uri="http://schemas.openxmlformats.org/drawingml/2006/picture">
                <pic:pic>
                  <pic:nvPicPr>
                    <pic:cNvPr descr="../figures/01_series_tunis.png" id="28" name="Picture"/>
                    <pic:cNvPicPr>
                      <a:picLocks noChangeArrowheads="1" noChangeAspect="1"/>
                    </pic:cNvPicPr>
                  </pic:nvPicPr>
                  <pic:blipFill>
                    <a:blip r:embed="rId26"/>
                    <a:stretch>
                      <a:fillRect/>
                    </a:stretch>
                  </pic:blipFill>
                  <pic:spPr bwMode="auto">
                    <a:xfrm>
                      <a:off x="0" y="0"/>
                      <a:ext cx="5039999" cy="3755294"/>
                    </a:xfrm>
                    <a:prstGeom prst="rect">
                      <a:avLst/>
                    </a:prstGeom>
                    <a:noFill/>
                    <a:ln w="9525">
                      <a:noFill/>
                      <a:headEnd/>
                      <a:tailEnd/>
                    </a:ln>
                  </pic:spPr>
                </pic:pic>
              </a:graphicData>
            </a:graphic>
          </wp:inline>
        </w:drawing>
      </w:r>
    </w:p>
    <w:p>
      <w:pPr>
        <w:pStyle w:val="ImageCaption"/>
      </w:pPr>
      <w:r>
        <w:t xml:space="preserve">Production d’1 kWc, éclairement horizontal, nébulosité et température à Tunis, 2005-2023</w:t>
      </w:r>
    </w:p>
    <w:p>
      <w:pPr>
        <w:pStyle w:val="Compact"/>
        <w:numPr>
          <w:ilvl w:val="0"/>
          <w:numId w:val="1002"/>
        </w:numPr>
      </w:pPr>
      <w:r>
        <w:rPr>
          <w:b/>
          <w:bCs/>
        </w:rPr>
        <w:t xml:space="preserve">Saisonnalité annuelle marquée mais modérée :</w:t>
      </w:r>
      <w:r>
        <w:t xml:space="preserve"> </w:t>
      </w:r>
      <w:r>
        <w:t xml:space="preserve">de 3,06 kWh/kWc par jour en décembre à 5,43 en juillet (rapport 1,8, contre environ 3 à Paris).</w:t>
      </w:r>
    </w:p>
    <w:p>
      <w:pPr>
        <w:pStyle w:val="Compact"/>
        <w:numPr>
          <w:ilvl w:val="0"/>
          <w:numId w:val="1002"/>
        </w:numPr>
      </w:pPr>
      <w:r>
        <w:rPr>
          <w:b/>
          <w:bCs/>
        </w:rPr>
        <w:t xml:space="preserve">Variance inverse du niveau :</w:t>
      </w:r>
      <w:r>
        <w:t xml:space="preserve"> </w:t>
      </w:r>
      <w:r>
        <w:t xml:space="preserve">écart-type journalier de 1,25 à 1,53 de décembre à avril, de 0,41 en juillet. L’été tunisien est presque toujours clair ; l’hiver et le printemps alternent ciel clair et perturbations.</w:t>
      </w:r>
    </w:p>
    <w:p>
      <w:pPr>
        <w:pStyle w:val="Compact"/>
        <w:numPr>
          <w:ilvl w:val="0"/>
          <w:numId w:val="1002"/>
        </w:numPr>
      </w:pPr>
      <w:r>
        <w:rPr>
          <w:b/>
          <w:bCs/>
        </w:rPr>
        <w:t xml:space="preserve">Pas de tendance :</w:t>
      </w:r>
      <w:r>
        <w:t xml:space="preserve"> </w:t>
      </w:r>
      <w:r>
        <w:t xml:space="preserve">production annuelle de 1 508 à 1 635 kWh/kWc, écart-type d’une année à l’autre de 37 kWh/kWc (2,3 %). La température, elle, monte (section 3.6).</w:t>
      </w:r>
    </w:p>
    <w:p>
      <w:pPr>
        <w:pStyle w:val="Compact"/>
        <w:numPr>
          <w:ilvl w:val="0"/>
          <w:numId w:val="1002"/>
        </w:numPr>
      </w:pPr>
      <w:r>
        <w:rPr>
          <w:b/>
          <w:bCs/>
        </w:rPr>
        <w:t xml:space="preserve">Asymétrie à gauche (skewness -0,82) :</w:t>
      </w:r>
      <w:r>
        <w:t xml:space="preserve"> </w:t>
      </w:r>
      <w:r>
        <w:t xml:space="preserve">la production est bornée par le ciel clair ; 2,1 % des jours sont sous 1 kWh/kWc.</w:t>
      </w:r>
    </w:p>
    <w:p>
      <w:pPr>
        <w:pStyle w:val="CaptionedFigure"/>
      </w:pPr>
      <w:r>
        <w:drawing>
          <wp:inline>
            <wp:extent cx="5334000" cy="1727663"/>
            <wp:effectExtent b="0" l="0" r="0" t="0"/>
            <wp:docPr descr="Profil saisonnier et production annuelle des 9 villes" title="" id="30" name="Picture"/>
            <a:graphic>
              <a:graphicData uri="http://schemas.openxmlformats.org/drawingml/2006/picture">
                <pic:pic>
                  <pic:nvPicPr>
                    <pic:cNvPr descr="../figures/02_comparaison_villes.png" id="31" name="Picture"/>
                    <pic:cNvPicPr>
                      <a:picLocks noChangeArrowheads="1" noChangeAspect="1"/>
                    </pic:cNvPicPr>
                  </pic:nvPicPr>
                  <pic:blipFill>
                    <a:blip r:embed="rId29"/>
                    <a:stretch>
                      <a:fillRect/>
                    </a:stretch>
                  </pic:blipFill>
                  <pic:spPr bwMode="auto">
                    <a:xfrm>
                      <a:off x="0" y="0"/>
                      <a:ext cx="5334000" cy="1727663"/>
                    </a:xfrm>
                    <a:prstGeom prst="rect">
                      <a:avLst/>
                    </a:prstGeom>
                    <a:noFill/>
                    <a:ln w="9525">
                      <a:noFill/>
                      <a:headEnd/>
                      <a:tailEnd/>
                    </a:ln>
                  </pic:spPr>
                </pic:pic>
              </a:graphicData>
            </a:graphic>
          </wp:inline>
        </w:drawing>
      </w:r>
    </w:p>
    <w:p>
      <w:pPr>
        <w:pStyle w:val="ImageCaption"/>
      </w:pPr>
      <w:r>
        <w:t xml:space="preserve">Profil saisonnier et production annuelle des 9 villes</w:t>
      </w:r>
    </w:p>
    <w:p>
      <w:pPr>
        <w:pStyle w:val="BodyText"/>
      </w:pPr>
      <w:r>
        <w:t xml:space="preserve">Le gradient nord-sud est surtout hivernal : en décembre, Paris produit 1,35 kWh/kWc par jour contre environ 4,1 à Tozeur, alors qu’en juillet les neuf villes sont entre 4,2 et 5,5. Tunis, côtière, est plus nuageuse en hiver que le sud tunisien et se place au niveau de Madrid et de Marseille.</w:t>
      </w:r>
    </w:p>
    <w:p>
      <w:pPr>
        <w:pStyle w:val="CaptionedFigure"/>
      </w:pPr>
      <w:r>
        <w:drawing>
          <wp:inline>
            <wp:extent cx="4679999" cy="1728766"/>
            <wp:effectExtent b="0" l="0" r="0" t="0"/>
            <wp:docPr descr="Production et nébulosité ; production normalisée et indice de clarté" title="" id="33" name="Picture"/>
            <a:graphic>
              <a:graphicData uri="http://schemas.openxmlformats.org/drawingml/2006/picture">
                <pic:pic>
                  <pic:nvPicPr>
                    <pic:cNvPr descr="../figures/03_production_nebulosite.png" id="34" name="Picture"/>
                    <pic:cNvPicPr>
                      <a:picLocks noChangeArrowheads="1" noChangeAspect="1"/>
                    </pic:cNvPicPr>
                  </pic:nvPicPr>
                  <pic:blipFill>
                    <a:blip r:embed="rId32"/>
                    <a:stretch>
                      <a:fillRect/>
                    </a:stretch>
                  </pic:blipFill>
                  <pic:spPr bwMode="auto">
                    <a:xfrm>
                      <a:off x="0" y="0"/>
                      <a:ext cx="4679999" cy="1728766"/>
                    </a:xfrm>
                    <a:prstGeom prst="rect">
                      <a:avLst/>
                    </a:prstGeom>
                    <a:noFill/>
                    <a:ln w="9525">
                      <a:noFill/>
                      <a:headEnd/>
                      <a:tailEnd/>
                    </a:ln>
                  </pic:spPr>
                </pic:pic>
              </a:graphicData>
            </a:graphic>
          </wp:inline>
        </w:drawing>
      </w:r>
    </w:p>
    <w:p>
      <w:pPr>
        <w:pStyle w:val="ImageCaption"/>
      </w:pPr>
      <w:r>
        <w:t xml:space="preserve">Production et nébulosité ; production normalisée et indice de clarté</w:t>
      </w:r>
    </w:p>
    <w:p>
      <w:pPr>
        <w:pStyle w:val="BodyText"/>
      </w:pPr>
      <w:r>
        <w:t xml:space="preserve">La corrélation avec la nébulosité vaut -0,69 (de -0,61 en hiver à -0,67 en été), avec une forte dispersion à nébulosité égale. Divisée par le rayonnement extraterrestre, la production suit presque linéairement l’indice de clarté (r = 0,57).</w:t>
      </w:r>
    </w:p>
    <w:bookmarkEnd w:id="35"/>
    <w:bookmarkStart w:id="36" w:name="transformation"/>
    <w:p>
      <w:pPr>
        <w:pStyle w:val="Heading2"/>
      </w:pPr>
      <w:r>
        <w:t xml:space="preserve">3.2 Transformation</w:t>
      </w:r>
    </w:p>
    <w:p>
      <w:pPr>
        <w:pStyle w:val="FirstParagraph"/>
      </w:pPr>
      <w:r>
        <w:t xml:space="preserve">L’écart-type mensuel diminue quand le niveau augmente (pente -0,24 ; r = -0,57 ; p = 4e-19), à l’inverse de la situation qui justifie un logarithme ; le logarithme aggraverait l’asymétrie (de -0,82 à -1,99).</w:t>
      </w:r>
      <w:r>
        <w:t xml:space="preserve"> </w:t>
      </w:r>
      <w:r>
        <w:rPr>
          <w:b/>
          <w:bCs/>
        </w:rPr>
        <w:t xml:space="preserve">La série est modélisée en niveau</w:t>
      </w:r>
      <w:r>
        <w:t xml:space="preserve">, et l’hétéroscédasticité saisonnière est traitée par un modèle de variance (section 4.3).</w:t>
      </w:r>
    </w:p>
    <w:bookmarkEnd w:id="36"/>
    <w:bookmarkStart w:id="40" w:name="acf-et-pacf"/>
    <w:p>
      <w:pPr>
        <w:pStyle w:val="Heading2"/>
      </w:pPr>
      <w:r>
        <w:t xml:space="preserve">3.3 ACF et PACF</w:t>
      </w:r>
    </w:p>
    <w:p>
      <w:pPr>
        <w:pStyle w:val="CaptionedFigure"/>
      </w:pPr>
      <w:r>
        <w:drawing>
          <wp:inline>
            <wp:extent cx="4679999" cy="3104268"/>
            <wp:effectExtent b="0" l="0" r="0" t="0"/>
            <wp:docPr descr="ACF et PACF de la série brute, différenciée et désaisonnalisée" title="" id="38" name="Picture"/>
            <a:graphic>
              <a:graphicData uri="http://schemas.openxmlformats.org/drawingml/2006/picture">
                <pic:pic>
                  <pic:nvPicPr>
                    <pic:cNvPr descr="../figures/04_acf_pacf.png" id="39" name="Picture"/>
                    <pic:cNvPicPr>
                      <a:picLocks noChangeArrowheads="1" noChangeAspect="1"/>
                    </pic:cNvPicPr>
                  </pic:nvPicPr>
                  <pic:blipFill>
                    <a:blip r:embed="rId37"/>
                    <a:stretch>
                      <a:fillRect/>
                    </a:stretch>
                  </pic:blipFill>
                  <pic:spPr bwMode="auto">
                    <a:xfrm>
                      <a:off x="0" y="0"/>
                      <a:ext cx="4679999" cy="3104268"/>
                    </a:xfrm>
                    <a:prstGeom prst="rect">
                      <a:avLst/>
                    </a:prstGeom>
                    <a:noFill/>
                    <a:ln w="9525">
                      <a:noFill/>
                      <a:headEnd/>
                      <a:tailEnd/>
                    </a:ln>
                  </pic:spPr>
                </pic:pic>
              </a:graphicData>
            </a:graphic>
          </wp:inline>
        </w:drawing>
      </w:r>
    </w:p>
    <w:p>
      <w:pPr>
        <w:pStyle w:val="ImageCaption"/>
      </w:pPr>
      <w:r>
        <w:t xml:space="preserve">ACF et PACF de la série brute, différenciée et désaisonnalisée</w:t>
      </w:r>
    </w:p>
    <w:p>
      <w:pPr>
        <w:pStyle w:val="Compact"/>
        <w:numPr>
          <w:ilvl w:val="0"/>
          <w:numId w:val="1003"/>
        </w:numPr>
      </w:pPr>
      <w:r>
        <w:rPr>
          <w:b/>
          <w:bCs/>
        </w:rPr>
        <w:t xml:space="preserve">Série brute :</w:t>
      </w:r>
      <w:r>
        <w:t xml:space="preserve"> </w:t>
      </w:r>
      <w:r>
        <w:t xml:space="preserve">ACF de 0,51 au retard 1, encore 0,28 au retard 30, -0,31 à 182 jours et +0,33 à 365 jours : cette persistance apparente est celle du cycle annuel.</w:t>
      </w:r>
    </w:p>
    <w:p>
      <w:pPr>
        <w:pStyle w:val="Compact"/>
        <w:numPr>
          <w:ilvl w:val="0"/>
          <w:numId w:val="1003"/>
        </w:numPr>
      </w:pPr>
      <w:r>
        <w:rPr>
          <w:b/>
          <w:bCs/>
        </w:rPr>
        <w:t xml:space="preserve">Différence d’ordre 1 :</w:t>
      </w:r>
      <w:r>
        <w:t xml:space="preserve"> </w:t>
      </w:r>
      <w:r>
        <w:t xml:space="preserve">ACF de -0,37 au retard 1, signature d’une sur-différenciation.</w:t>
      </w:r>
    </w:p>
    <w:p>
      <w:pPr>
        <w:pStyle w:val="Compact"/>
        <w:numPr>
          <w:ilvl w:val="0"/>
          <w:numId w:val="1003"/>
        </w:numPr>
      </w:pPr>
      <w:r>
        <w:rPr>
          <w:b/>
          <w:bCs/>
        </w:rPr>
        <w:t xml:space="preserve">Série désaisonnalisée</w:t>
      </w:r>
      <w:r>
        <w:t xml:space="preserve"> </w:t>
      </w:r>
      <w:r>
        <w:t xml:space="preserve">(Fourier, 34 % de la variance) : ACF de 0,26 au retard 1 puis négligeable, PACF coupée après le retard 1 : un</w:t>
      </w:r>
      <w:r>
        <w:t xml:space="preserve"> </w:t>
      </w:r>
      <w:r>
        <w:rPr>
          <w:b/>
          <w:bCs/>
        </w:rPr>
        <w:t xml:space="preserve">AR(1)</w:t>
      </w:r>
      <w:r>
        <w:t xml:space="preserve">. La météo d’un jour renseigne peu sur celle du lendemain, presque plus sur celle du surlendemain.</w:t>
      </w:r>
    </w:p>
    <w:p>
      <w:pPr>
        <w:pStyle w:val="Compact"/>
        <w:numPr>
          <w:ilvl w:val="0"/>
          <w:numId w:val="1003"/>
        </w:numPr>
      </w:pPr>
      <w:r>
        <w:rPr>
          <w:b/>
          <w:bCs/>
        </w:rPr>
        <w:t xml:space="preserve">Ordres candidats :</w:t>
      </w:r>
      <w:r>
        <w:t xml:space="preserve"> </w:t>
      </w:r>
      <w:r>
        <w:t xml:space="preserve">d = 0, p de 1 à 3, q de 0 à 2, K = 2 à 4 harmoniques. Pas de saisonnalité hebdomadaire.</w:t>
      </w:r>
    </w:p>
    <w:bookmarkEnd w:id="40"/>
    <w:bookmarkStart w:id="44" w:name="décomposition"/>
    <w:p>
      <w:pPr>
        <w:pStyle w:val="Heading2"/>
      </w:pPr>
      <w:r>
        <w:t xml:space="preserve">3.4 Décomposition</w:t>
      </w:r>
    </w:p>
    <w:p>
      <w:pPr>
        <w:pStyle w:val="CaptionedFigure"/>
      </w:pPr>
      <w:r>
        <w:drawing>
          <wp:inline>
            <wp:extent cx="4679999" cy="3261975"/>
            <wp:effectExtent b="0" l="0" r="0" t="0"/>
            <wp:docPr descr="Décomposition STL robuste (période 365 jours)" title="" id="42" name="Picture"/>
            <a:graphic>
              <a:graphicData uri="http://schemas.openxmlformats.org/drawingml/2006/picture">
                <pic:pic>
                  <pic:nvPicPr>
                    <pic:cNvPr descr="../figures/06_decomposition_stl.png" id="43" name="Picture"/>
                    <pic:cNvPicPr>
                      <a:picLocks noChangeArrowheads="1" noChangeAspect="1"/>
                    </pic:cNvPicPr>
                  </pic:nvPicPr>
                  <pic:blipFill>
                    <a:blip r:embed="rId41"/>
                    <a:stretch>
                      <a:fillRect/>
                    </a:stretch>
                  </pic:blipFill>
                  <pic:spPr bwMode="auto">
                    <a:xfrm>
                      <a:off x="0" y="0"/>
                      <a:ext cx="4679999" cy="3261975"/>
                    </a:xfrm>
                    <a:prstGeom prst="rect">
                      <a:avLst/>
                    </a:prstGeom>
                    <a:noFill/>
                    <a:ln w="9525">
                      <a:noFill/>
                      <a:headEnd/>
                      <a:tailEnd/>
                    </a:ln>
                  </pic:spPr>
                </pic:pic>
              </a:graphicData>
            </a:graphic>
          </wp:inline>
        </w:drawing>
      </w:r>
    </w:p>
    <w:p>
      <w:pPr>
        <w:pStyle w:val="ImageCaption"/>
      </w:pPr>
      <w:r>
        <w:t xml:space="preserve">Décomposition STL robuste (période 365 jours)</w:t>
      </w:r>
    </w:p>
    <w:p>
      <w:pPr>
        <w:pStyle w:val="Compact"/>
        <w:numPr>
          <w:ilvl w:val="0"/>
          <w:numId w:val="1004"/>
        </w:numPr>
      </w:pPr>
      <w:r>
        <w:rPr>
          <w:b/>
          <w:bCs/>
        </w:rPr>
        <w:t xml:space="preserve">Saison :</w:t>
      </w:r>
      <w:r>
        <w:t xml:space="preserve"> </w:t>
      </w:r>
      <w:r>
        <w:t xml:space="preserve">65 % de la variance, très régulière.</w:t>
      </w:r>
    </w:p>
    <w:p>
      <w:pPr>
        <w:pStyle w:val="Compact"/>
        <w:numPr>
          <w:ilvl w:val="0"/>
          <w:numId w:val="1004"/>
        </w:numPr>
      </w:pPr>
      <w:r>
        <w:rPr>
          <w:b/>
          <w:bCs/>
        </w:rPr>
        <w:t xml:space="preserve">Tendance :</w:t>
      </w:r>
      <w:r>
        <w:t xml:space="preserve"> </w:t>
      </w:r>
      <w:r>
        <w:t xml:space="preserve">moins de 1 % de la variance ; +9,5 Wh/kWc par jour et par an (+0,2 % par an), trop faible pour être distinguée d’une dérive de la série satellitaire.</w:t>
      </w:r>
    </w:p>
    <w:p>
      <w:pPr>
        <w:pStyle w:val="Compact"/>
        <w:numPr>
          <w:ilvl w:val="0"/>
          <w:numId w:val="1004"/>
        </w:numPr>
      </w:pPr>
      <w:r>
        <w:rPr>
          <w:b/>
          <w:bCs/>
        </w:rPr>
        <w:t xml:space="preserve">Résidu :</w:t>
      </w:r>
      <w:r>
        <w:t xml:space="preserve"> </w:t>
      </w:r>
      <w:r>
        <w:t xml:space="preserve">60 % de la variance (parts non additives, composantes corrélées) ; écart-type de 1,40 kWh/kWc en mars contre 0,37 en juillet ; asymétrique (-0,90).</w:t>
      </w:r>
    </w:p>
    <w:bookmarkEnd w:id="44"/>
    <w:bookmarkStart w:id="48" w:name="valeurs-aberrantes"/>
    <w:p>
      <w:pPr>
        <w:pStyle w:val="Heading2"/>
      </w:pPr>
      <w:r>
        <w:t xml:space="preserve">3.5 Valeurs aberrantes</w:t>
      </w:r>
    </w:p>
    <w:p>
      <w:pPr>
        <w:pStyle w:val="FirstParagraph"/>
      </w:pPr>
      <w:r>
        <w:t xml:space="preserve">Deux familles sont distinguées.</w:t>
      </w:r>
    </w:p>
    <w:p>
      <w:pPr>
        <w:pStyle w:val="Compact"/>
        <w:numPr>
          <w:ilvl w:val="0"/>
          <w:numId w:val="1005"/>
        </w:numPr>
      </w:pPr>
      <w:r>
        <w:rPr>
          <w:b/>
          <w:bCs/>
        </w:rPr>
        <w:t xml:space="preserve">Erreurs de données, corrigées.</w:t>
      </w:r>
      <w:r>
        <w:t xml:space="preserve"> </w:t>
      </w:r>
      <w:r>
        <w:t xml:space="preserve">13 jours à Tunis où PVGIS donnait 0 à 1,5 kWh/kWc alors que NASA POWER et ERA5 voyaient une journée ordinaire (2,2 à 7,2 kWh/m²) : trous de la base SARAH3 (dix journées entièrement nulles, trois en partie). Ils sont imputés (énergie NASA du jour multipliée par le rapport PVGIS/NASA des 31 jours voisins) et signalés (</w:t>
      </w:r>
      <w:r>
        <w:rPr>
          <w:rStyle w:val="VerbatimChar"/>
        </w:rPr>
        <w:t xml:space="preserve">jour_impute_pvgis</w:t>
      </w:r>
      <w:r>
        <w:t xml:space="preserve">). Les garder aurait créé de faux records de volatilité.</w:t>
      </w:r>
    </w:p>
    <w:p>
      <w:pPr>
        <w:pStyle w:val="Compact"/>
        <w:numPr>
          <w:ilvl w:val="0"/>
          <w:numId w:val="1005"/>
        </w:numPr>
      </w:pPr>
      <w:r>
        <w:rPr>
          <w:b/>
          <w:bCs/>
        </w:rPr>
        <w:t xml:space="preserve">Valeurs extrêmes vraies, conservées.</w:t>
      </w:r>
      <w:r>
        <w:t xml:space="preserve"> </w:t>
      </w:r>
      <w:r>
        <w:t xml:space="preserve">La règle de l’IQR globale signale 17,5 % des jours, surtout l’hiver, parce que la dispersion y est plus forte : elle est inadaptée. Un</w:t>
      </w:r>
      <w:r>
        <w:t xml:space="preserve"> </w:t>
      </w:r>
      <w:r>
        <w:rPr>
          <w:b/>
          <w:bCs/>
        </w:rPr>
        <w:t xml:space="preserve">boxplot glissant</w:t>
      </w:r>
      <w:r>
        <w:t xml:space="preserve"> </w:t>
      </w:r>
      <w:r>
        <w:t xml:space="preserve">(quartiles sur 61 jours) signale 803 jours (12,9 %), dont 595 bas. La moitié des jours bas s’expliquent par une pluie d’au moins 5 mm, un ciel couvert à plus de 80 % ou un épisode de poussières (épaisseur optique d’au moins 0,8) ; les 8 plus bas cumulent ciel couvert et pluie ou poussières.</w:t>
      </w:r>
    </w:p>
    <w:p>
      <w:pPr>
        <w:pStyle w:val="CaptionedFigure"/>
      </w:pPr>
      <w:r>
        <w:drawing>
          <wp:inline>
            <wp:extent cx="4679999" cy="1337142"/>
            <wp:effectExtent b="0" l="0" r="0" t="0"/>
            <wp:docPr descr="Résidu STL et jours signalés par le boxplot glissant" title="" id="46" name="Picture"/>
            <a:graphic>
              <a:graphicData uri="http://schemas.openxmlformats.org/drawingml/2006/picture">
                <pic:pic>
                  <pic:nvPicPr>
                    <pic:cNvPr descr="../figures/07_aberrants.png" id="47" name="Picture"/>
                    <pic:cNvPicPr>
                      <a:picLocks noChangeArrowheads="1" noChangeAspect="1"/>
                    </pic:cNvPicPr>
                  </pic:nvPicPr>
                  <pic:blipFill>
                    <a:blip r:embed="rId45"/>
                    <a:stretch>
                      <a:fillRect/>
                    </a:stretch>
                  </pic:blipFill>
                  <pic:spPr bwMode="auto">
                    <a:xfrm>
                      <a:off x="0" y="0"/>
                      <a:ext cx="4679999" cy="1337142"/>
                    </a:xfrm>
                    <a:prstGeom prst="rect">
                      <a:avLst/>
                    </a:prstGeom>
                    <a:noFill/>
                    <a:ln w="9525">
                      <a:noFill/>
                      <a:headEnd/>
                      <a:tailEnd/>
                    </a:ln>
                  </pic:spPr>
                </pic:pic>
              </a:graphicData>
            </a:graphic>
          </wp:inline>
        </w:drawing>
      </w:r>
    </w:p>
    <w:p>
      <w:pPr>
        <w:pStyle w:val="ImageCaption"/>
      </w:pPr>
      <w:r>
        <w:t xml:space="preserve">Résidu STL et jours signalés par le boxplot glissant</w:t>
      </w:r>
    </w:p>
    <w:p>
      <w:pPr>
        <w:pStyle w:val="BodyText"/>
      </w:pPr>
      <w:r>
        <w:rPr>
          <w:b/>
          <w:bCs/>
        </w:rPr>
        <w:t xml:space="preserve">Traitement :</w:t>
      </w:r>
      <w:r>
        <w:t xml:space="preserve"> </w:t>
      </w:r>
      <w:r>
        <w:t xml:space="preserve">aucune suppression ni indicatrice pour les valeurs vraies, imprévisibles ex ante ; elles sont expliquées par la météo dans les modèles ex post, et leur concentration en saison humide est modélisée par la variance conditionnelle.</w:t>
      </w:r>
    </w:p>
    <w:bookmarkEnd w:id="48"/>
    <w:bookmarkStart w:id="49" w:name="stationnarité"/>
    <w:p>
      <w:pPr>
        <w:pStyle w:val="Heading2"/>
      </w:pPr>
      <w:r>
        <w:t xml:space="preserve">3.6 Stationnarité</w:t>
      </w:r>
    </w:p>
    <w:p>
      <w:pPr>
        <w:pStyle w:val="TableCaption"/>
      </w:pPr>
      <w:r>
        <w:t xml:space="preserve">Tests de stationnarité (ADF : H0 = racine unitaire ; KPSS : H0 = stationnarité).</w:t>
      </w:r>
    </w:p>
    <w:tbl>
      <w:tblPr>
        <w:tblStyle w:val="Table"/>
        <w:tblW w:type="pct" w:w="5000"/>
        <w:tblLayout w:type="fixed"/>
        <w:tblLook w:firstRow="1" w:lastRow="0" w:firstColumn="0" w:lastColumn="0" w:noHBand="0" w:noVBand="0" w:val="0020"/>
        <w:tblCaption w:val="Tests de stationnarité (ADF : H0 = racine unitaire ; KPSS : H0 = stationnarité)."/>
      </w:tblPr>
      <w:tblGrid>
        <w:gridCol w:w="1320"/>
        <w:gridCol w:w="1320"/>
        <w:gridCol w:w="1320"/>
        <w:gridCol w:w="1320"/>
        <w:gridCol w:w="1320"/>
        <w:gridCol w:w="1320"/>
      </w:tblGrid>
      <w:tr>
        <w:trPr>
          <w:tblHeader w:val="on"/>
        </w:trPr>
        <w:tc>
          <w:tcPr/>
          <w:p>
            <w:pPr>
              <w:pStyle w:val="Compact"/>
            </w:pPr>
            <w:r>
              <w:t xml:space="preserve">Série (apprentissage)</w:t>
            </w:r>
          </w:p>
        </w:tc>
        <w:tc>
          <w:tcPr/>
          <w:p>
            <w:pPr>
              <w:pStyle w:val="Compact"/>
            </w:pPr>
            <w:r>
              <w:t xml:space="preserve">ADF</w:t>
            </w:r>
          </w:p>
        </w:tc>
        <w:tc>
          <w:tcPr/>
          <w:p>
            <w:pPr>
              <w:pStyle w:val="Compact"/>
            </w:pPr>
            <w:r>
              <w:t xml:space="preserve">p ADF</w:t>
            </w:r>
          </w:p>
        </w:tc>
        <w:tc>
          <w:tcPr/>
          <w:p>
            <w:pPr>
              <w:pStyle w:val="Compact"/>
            </w:pPr>
            <w:r>
              <w:t xml:space="preserve">KPSS</w:t>
            </w:r>
          </w:p>
        </w:tc>
        <w:tc>
          <w:tcPr/>
          <w:p>
            <w:pPr>
              <w:pStyle w:val="Compact"/>
            </w:pPr>
            <w:r>
              <w:t xml:space="preserve">p KPSS</w:t>
            </w:r>
          </w:p>
        </w:tc>
        <w:tc>
          <w:tcPr/>
          <w:p>
            <w:pPr>
              <w:pStyle w:val="Compact"/>
            </w:pPr>
            <w:r>
              <w:t xml:space="preserve">Conclusion à 5 %</w:t>
            </w:r>
          </w:p>
        </w:tc>
      </w:tr>
      <w:tr>
        <w:tc>
          <w:tcPr/>
          <w:p>
            <w:pPr>
              <w:pStyle w:val="Compact"/>
            </w:pPr>
            <w:r>
              <w:t xml:space="preserve">production</w:t>
            </w:r>
          </w:p>
        </w:tc>
        <w:tc>
          <w:tcPr/>
          <w:p>
            <w:pPr>
              <w:pStyle w:val="Compact"/>
            </w:pPr>
            <w:r>
              <w:t xml:space="preserve">-5,84</w:t>
            </w:r>
          </w:p>
        </w:tc>
        <w:tc>
          <w:tcPr/>
          <w:p>
            <w:pPr>
              <w:pStyle w:val="Compact"/>
            </w:pPr>
            <w:r>
              <w:t xml:space="preserve">&lt; 0,001</w:t>
            </w:r>
          </w:p>
        </w:tc>
        <w:tc>
          <w:tcPr/>
          <w:p>
            <w:pPr>
              <w:pStyle w:val="Compact"/>
            </w:pPr>
            <w:r>
              <w:t xml:space="preserve">0,027</w:t>
            </w:r>
          </w:p>
        </w:tc>
        <w:tc>
          <w:tcPr/>
          <w:p>
            <w:pPr>
              <w:pStyle w:val="Compact"/>
            </w:pPr>
            <w:r>
              <w:t xml:space="preserve">&gt; 0,10</w:t>
            </w:r>
          </w:p>
        </w:tc>
        <w:tc>
          <w:tcPr/>
          <w:p>
            <w:pPr>
              <w:pStyle w:val="Compact"/>
            </w:pPr>
            <w:r>
              <w:t xml:space="preserve">stationnaire</w:t>
            </w:r>
          </w:p>
        </w:tc>
      </w:tr>
      <w:tr>
        <w:tc>
          <w:tcPr/>
          <w:p>
            <w:pPr>
              <w:pStyle w:val="Compact"/>
            </w:pPr>
            <w:r>
              <w:t xml:space="preserve">production - diff. ordre 1</w:t>
            </w:r>
          </w:p>
        </w:tc>
        <w:tc>
          <w:tcPr/>
          <w:p>
            <w:pPr>
              <w:pStyle w:val="Compact"/>
            </w:pPr>
            <w:r>
              <w:t xml:space="preserve">-24,06</w:t>
            </w:r>
          </w:p>
        </w:tc>
        <w:tc>
          <w:tcPr/>
          <w:p>
            <w:pPr>
              <w:pStyle w:val="Compact"/>
            </w:pPr>
            <w:r>
              <w:t xml:space="preserve">&lt; 0,001</w:t>
            </w:r>
          </w:p>
        </w:tc>
        <w:tc>
          <w:tcPr/>
          <w:p>
            <w:pPr>
              <w:pStyle w:val="Compact"/>
            </w:pPr>
            <w:r>
              <w:t xml:space="preserve">0,013</w:t>
            </w:r>
          </w:p>
        </w:tc>
        <w:tc>
          <w:tcPr/>
          <w:p>
            <w:pPr>
              <w:pStyle w:val="Compact"/>
            </w:pPr>
            <w:r>
              <w:t xml:space="preserve">&gt; 0,10</w:t>
            </w:r>
          </w:p>
        </w:tc>
        <w:tc>
          <w:tcPr/>
          <w:p>
            <w:pPr>
              <w:pStyle w:val="Compact"/>
            </w:pPr>
            <w:r>
              <w:t xml:space="preserve">stationnaire</w:t>
            </w:r>
          </w:p>
        </w:tc>
      </w:tr>
      <w:tr>
        <w:tc>
          <w:tcPr/>
          <w:p>
            <w:pPr>
              <w:pStyle w:val="Compact"/>
            </w:pPr>
            <w:r>
              <w:t xml:space="preserve">production - désaisonnalisée (Fourier)</w:t>
            </w:r>
          </w:p>
        </w:tc>
        <w:tc>
          <w:tcPr/>
          <w:p>
            <w:pPr>
              <w:pStyle w:val="Compact"/>
            </w:pPr>
            <w:r>
              <w:t xml:space="preserve">-34,77</w:t>
            </w:r>
          </w:p>
        </w:tc>
        <w:tc>
          <w:tcPr/>
          <w:p>
            <w:pPr>
              <w:pStyle w:val="Compact"/>
            </w:pPr>
            <w:r>
              <w:t xml:space="preserve">&lt; 0,001</w:t>
            </w:r>
          </w:p>
        </w:tc>
        <w:tc>
          <w:tcPr/>
          <w:p>
            <w:pPr>
              <w:pStyle w:val="Compact"/>
            </w:pPr>
            <w:r>
              <w:t xml:space="preserve">0,392</w:t>
            </w:r>
          </w:p>
        </w:tc>
        <w:tc>
          <w:tcPr/>
          <w:p>
            <w:pPr>
              <w:pStyle w:val="Compact"/>
            </w:pPr>
            <w:r>
              <w:t xml:space="preserve">0,081</w:t>
            </w:r>
          </w:p>
        </w:tc>
        <w:tc>
          <w:tcPr/>
          <w:p>
            <w:pPr>
              <w:pStyle w:val="Compact"/>
            </w:pPr>
            <w:r>
              <w:t xml:space="preserve">stationnaire</w:t>
            </w:r>
          </w:p>
        </w:tc>
      </w:tr>
      <w:tr>
        <w:tc>
          <w:tcPr/>
          <w:p>
            <w:pPr>
              <w:pStyle w:val="Compact"/>
            </w:pPr>
            <w:r>
              <w:t xml:space="preserve">nébulosité</w:t>
            </w:r>
          </w:p>
        </w:tc>
        <w:tc>
          <w:tcPr/>
          <w:p>
            <w:pPr>
              <w:pStyle w:val="Compact"/>
            </w:pPr>
            <w:r>
              <w:t xml:space="preserve">-7,41</w:t>
            </w:r>
          </w:p>
        </w:tc>
        <w:tc>
          <w:tcPr/>
          <w:p>
            <w:pPr>
              <w:pStyle w:val="Compact"/>
            </w:pPr>
            <w:r>
              <w:t xml:space="preserve">&lt; 0,001</w:t>
            </w:r>
          </w:p>
        </w:tc>
        <w:tc>
          <w:tcPr/>
          <w:p>
            <w:pPr>
              <w:pStyle w:val="Compact"/>
            </w:pPr>
            <w:r>
              <w:t xml:space="preserve">0,042</w:t>
            </w:r>
          </w:p>
        </w:tc>
        <w:tc>
          <w:tcPr/>
          <w:p>
            <w:pPr>
              <w:pStyle w:val="Compact"/>
            </w:pPr>
            <w:r>
              <w:t xml:space="preserve">&gt; 0,10</w:t>
            </w:r>
          </w:p>
        </w:tc>
        <w:tc>
          <w:tcPr/>
          <w:p>
            <w:pPr>
              <w:pStyle w:val="Compact"/>
            </w:pPr>
            <w:r>
              <w:t xml:space="preserve">stationnaire</w:t>
            </w:r>
          </w:p>
        </w:tc>
      </w:tr>
      <w:tr>
        <w:tc>
          <w:tcPr/>
          <w:p>
            <w:pPr>
              <w:pStyle w:val="Compact"/>
            </w:pPr>
            <w:r>
              <w:t xml:space="preserve">nébulosité - diff. ordre 1</w:t>
            </w:r>
          </w:p>
        </w:tc>
        <w:tc>
          <w:tcPr/>
          <w:p>
            <w:pPr>
              <w:pStyle w:val="Compact"/>
            </w:pPr>
            <w:r>
              <w:t xml:space="preserve">-24,44</w:t>
            </w:r>
          </w:p>
        </w:tc>
        <w:tc>
          <w:tcPr/>
          <w:p>
            <w:pPr>
              <w:pStyle w:val="Compact"/>
            </w:pPr>
            <w:r>
              <w:t xml:space="preserve">&lt; 0,001</w:t>
            </w:r>
          </w:p>
        </w:tc>
        <w:tc>
          <w:tcPr/>
          <w:p>
            <w:pPr>
              <w:pStyle w:val="Compact"/>
            </w:pPr>
            <w:r>
              <w:t xml:space="preserve">0,030</w:t>
            </w:r>
          </w:p>
        </w:tc>
        <w:tc>
          <w:tcPr/>
          <w:p>
            <w:pPr>
              <w:pStyle w:val="Compact"/>
            </w:pPr>
            <w:r>
              <w:t xml:space="preserve">&gt; 0,10</w:t>
            </w:r>
          </w:p>
        </w:tc>
        <w:tc>
          <w:tcPr/>
          <w:p>
            <w:pPr>
              <w:pStyle w:val="Compact"/>
            </w:pPr>
            <w:r>
              <w:t xml:space="preserve">stationnaire</w:t>
            </w:r>
          </w:p>
        </w:tc>
      </w:tr>
      <w:tr>
        <w:tc>
          <w:tcPr/>
          <w:p>
            <w:pPr>
              <w:pStyle w:val="Compact"/>
            </w:pPr>
            <w:r>
              <w:t xml:space="preserve">nébulosité - désaisonnalisée (Fourier)</w:t>
            </w:r>
          </w:p>
        </w:tc>
        <w:tc>
          <w:tcPr/>
          <w:p>
            <w:pPr>
              <w:pStyle w:val="Compact"/>
            </w:pPr>
            <w:r>
              <w:t xml:space="preserve">-28,70</w:t>
            </w:r>
          </w:p>
        </w:tc>
        <w:tc>
          <w:tcPr/>
          <w:p>
            <w:pPr>
              <w:pStyle w:val="Compact"/>
            </w:pPr>
            <w:r>
              <w:t xml:space="preserve">&lt; 0,001</w:t>
            </w:r>
          </w:p>
        </w:tc>
        <w:tc>
          <w:tcPr/>
          <w:p>
            <w:pPr>
              <w:pStyle w:val="Compact"/>
            </w:pPr>
            <w:r>
              <w:t xml:space="preserve">0,181</w:t>
            </w:r>
          </w:p>
        </w:tc>
        <w:tc>
          <w:tcPr/>
          <w:p>
            <w:pPr>
              <w:pStyle w:val="Compact"/>
            </w:pPr>
            <w:r>
              <w:t xml:space="preserve">&gt; 0,10</w:t>
            </w:r>
          </w:p>
        </w:tc>
        <w:tc>
          <w:tcPr/>
          <w:p>
            <w:pPr>
              <w:pStyle w:val="Compact"/>
            </w:pPr>
            <w:r>
              <w:t xml:space="preserve">stationnaire</w:t>
            </w:r>
          </w:p>
        </w:tc>
      </w:tr>
      <w:tr>
        <w:tc>
          <w:tcPr/>
          <w:p>
            <w:pPr>
              <w:pStyle w:val="Compact"/>
            </w:pPr>
            <w:r>
              <w:t xml:space="preserve">température</w:t>
            </w:r>
          </w:p>
        </w:tc>
        <w:tc>
          <w:tcPr/>
          <w:p>
            <w:pPr>
              <w:pStyle w:val="Compact"/>
            </w:pPr>
            <w:r>
              <w:t xml:space="preserve">-5,50</w:t>
            </w:r>
          </w:p>
        </w:tc>
        <w:tc>
          <w:tcPr/>
          <w:p>
            <w:pPr>
              <w:pStyle w:val="Compact"/>
            </w:pPr>
            <w:r>
              <w:t xml:space="preserve">&lt; 0,001</w:t>
            </w:r>
          </w:p>
        </w:tc>
        <w:tc>
          <w:tcPr/>
          <w:p>
            <w:pPr>
              <w:pStyle w:val="Compact"/>
            </w:pPr>
            <w:r>
              <w:t xml:space="preserve">0,062</w:t>
            </w:r>
          </w:p>
        </w:tc>
        <w:tc>
          <w:tcPr/>
          <w:p>
            <w:pPr>
              <w:pStyle w:val="Compact"/>
            </w:pPr>
            <w:r>
              <w:t xml:space="preserve">&gt; 0,10</w:t>
            </w:r>
          </w:p>
        </w:tc>
        <w:tc>
          <w:tcPr/>
          <w:p>
            <w:pPr>
              <w:pStyle w:val="Compact"/>
            </w:pPr>
            <w:r>
              <w:t xml:space="preserve">stationnaire</w:t>
            </w:r>
          </w:p>
        </w:tc>
      </w:tr>
      <w:tr>
        <w:tc>
          <w:tcPr/>
          <w:p>
            <w:pPr>
              <w:pStyle w:val="Compact"/>
            </w:pPr>
            <w:r>
              <w:t xml:space="preserve">température - diff. ordre 1</w:t>
            </w:r>
          </w:p>
        </w:tc>
        <w:tc>
          <w:tcPr/>
          <w:p>
            <w:pPr>
              <w:pStyle w:val="Compact"/>
            </w:pPr>
            <w:r>
              <w:t xml:space="preserve">-11,77</w:t>
            </w:r>
          </w:p>
        </w:tc>
        <w:tc>
          <w:tcPr/>
          <w:p>
            <w:pPr>
              <w:pStyle w:val="Compact"/>
            </w:pPr>
            <w:r>
              <w:t xml:space="preserve">&lt; 0,001</w:t>
            </w:r>
          </w:p>
        </w:tc>
        <w:tc>
          <w:tcPr/>
          <w:p>
            <w:pPr>
              <w:pStyle w:val="Compact"/>
            </w:pPr>
            <w:r>
              <w:t xml:space="preserve">0,015</w:t>
            </w:r>
          </w:p>
        </w:tc>
        <w:tc>
          <w:tcPr/>
          <w:p>
            <w:pPr>
              <w:pStyle w:val="Compact"/>
            </w:pPr>
            <w:r>
              <w:t xml:space="preserve">&gt; 0,10</w:t>
            </w:r>
          </w:p>
        </w:tc>
        <w:tc>
          <w:tcPr/>
          <w:p>
            <w:pPr>
              <w:pStyle w:val="Compact"/>
            </w:pPr>
            <w:r>
              <w:t xml:space="preserve">stationnaire</w:t>
            </w:r>
          </w:p>
        </w:tc>
      </w:tr>
      <w:tr>
        <w:tc>
          <w:tcPr/>
          <w:p>
            <w:pPr>
              <w:pStyle w:val="Compact"/>
            </w:pPr>
            <w:r>
              <w:t xml:space="preserve">température - désaisonnalisée (Fourier)</w:t>
            </w:r>
          </w:p>
        </w:tc>
        <w:tc>
          <w:tcPr/>
          <w:p>
            <w:pPr>
              <w:pStyle w:val="Compact"/>
            </w:pPr>
            <w:r>
              <w:t xml:space="preserve">-20,82</w:t>
            </w:r>
          </w:p>
        </w:tc>
        <w:tc>
          <w:tcPr/>
          <w:p>
            <w:pPr>
              <w:pStyle w:val="Compact"/>
            </w:pPr>
            <w:r>
              <w:t xml:space="preserve">&lt; 0,001</w:t>
            </w:r>
          </w:p>
        </w:tc>
        <w:tc>
          <w:tcPr/>
          <w:p>
            <w:pPr>
              <w:pStyle w:val="Compact"/>
            </w:pPr>
            <w:r>
              <w:t xml:space="preserve">1,934</w:t>
            </w:r>
          </w:p>
        </w:tc>
        <w:tc>
          <w:tcPr/>
          <w:p>
            <w:pPr>
              <w:pStyle w:val="Compact"/>
            </w:pPr>
            <w:r>
              <w:t xml:space="preserve">&lt; 0,01</w:t>
            </w:r>
          </w:p>
        </w:tc>
        <w:tc>
          <w:tcPr/>
          <w:p>
            <w:pPr>
              <w:pStyle w:val="Compact"/>
            </w:pPr>
            <w:r>
              <w:t xml:space="preserve">désaccord (saisonnalité ou rupture ?)</w:t>
            </w:r>
          </w:p>
        </w:tc>
      </w:tr>
      <w:tr>
        <w:tc>
          <w:tcPr/>
          <w:p>
            <w:pPr>
              <w:pStyle w:val="Compact"/>
            </w:pPr>
            <w:r>
              <w:t xml:space="preserve">production désaisonnalisée, avec tendance</w:t>
            </w:r>
          </w:p>
        </w:tc>
        <w:tc>
          <w:tcPr/>
          <w:p>
            <w:pPr>
              <w:pStyle w:val="Compact"/>
            </w:pPr>
            <w:r>
              <w:t xml:space="preserve">-34,83</w:t>
            </w:r>
          </w:p>
        </w:tc>
        <w:tc>
          <w:tcPr/>
          <w:p>
            <w:pPr>
              <w:pStyle w:val="Compact"/>
            </w:pPr>
            <w:r>
              <w:t xml:space="preserve">&lt; 0,001</w:t>
            </w:r>
          </w:p>
        </w:tc>
        <w:tc>
          <w:tcPr/>
          <w:p>
            <w:pPr>
              <w:pStyle w:val="Compact"/>
            </w:pPr>
            <w:r>
              <w:t xml:space="preserve">0,031</w:t>
            </w:r>
          </w:p>
        </w:tc>
        <w:tc>
          <w:tcPr/>
          <w:p>
            <w:pPr>
              <w:pStyle w:val="Compact"/>
            </w:pPr>
            <w:r>
              <w:t xml:space="preserve">&gt; 0,10</w:t>
            </w:r>
          </w:p>
        </w:tc>
        <w:tc>
          <w:tcPr/>
          <w:p>
            <w:pPr>
              <w:pStyle w:val="Compact"/>
            </w:pPr>
            <w:r>
              <w:t xml:space="preserve">stationnaire</w:t>
            </w:r>
          </w:p>
        </w:tc>
      </w:tr>
      <w:tr>
        <w:tc>
          <w:tcPr/>
          <w:p>
            <w:pPr>
              <w:pStyle w:val="Compact"/>
            </w:pPr>
            <w:r>
              <w:t xml:space="preserve">température désaisonnalisée, avec tendance</w:t>
            </w:r>
          </w:p>
        </w:tc>
        <w:tc>
          <w:tcPr/>
          <w:p>
            <w:pPr>
              <w:pStyle w:val="Compact"/>
            </w:pPr>
            <w:r>
              <w:t xml:space="preserve">-23,99</w:t>
            </w:r>
          </w:p>
        </w:tc>
        <w:tc>
          <w:tcPr/>
          <w:p>
            <w:pPr>
              <w:pStyle w:val="Compact"/>
            </w:pPr>
            <w:r>
              <w:t xml:space="preserve">&lt; 0,001</w:t>
            </w:r>
          </w:p>
        </w:tc>
        <w:tc>
          <w:tcPr/>
          <w:p>
            <w:pPr>
              <w:pStyle w:val="Compact"/>
            </w:pPr>
            <w:r>
              <w:t xml:space="preserve">0,041</w:t>
            </w:r>
          </w:p>
        </w:tc>
        <w:tc>
          <w:tcPr/>
          <w:p>
            <w:pPr>
              <w:pStyle w:val="Compact"/>
            </w:pPr>
            <w:r>
              <w:t xml:space="preserve">&gt; 0,10</w:t>
            </w:r>
          </w:p>
        </w:tc>
        <w:tc>
          <w:tcPr/>
          <w:p>
            <w:pPr>
              <w:pStyle w:val="Compact"/>
            </w:pPr>
            <w:r>
              <w:t xml:space="preserve">stationnaire</w:t>
            </w:r>
          </w:p>
        </w:tc>
      </w:tr>
    </w:tbl>
    <w:p>
      <w:pPr>
        <w:pStyle w:val="Compact"/>
        <w:numPr>
          <w:ilvl w:val="0"/>
          <w:numId w:val="1006"/>
        </w:numPr>
      </w:pPr>
      <w:r>
        <w:rPr>
          <w:b/>
          <w:bCs/>
        </w:rPr>
        <w:t xml:space="preserve">En niveau, les deux tests s’accordent :</w:t>
      </w:r>
      <w:r>
        <w:t xml:space="preserve"> </w:t>
      </w:r>
      <w:r>
        <w:t xml:space="preserve">l’ADF rejette la racine unitaire et le KPSS ne rejette pas la stationnarité pour la production, la nébulosité et la température.</w:t>
      </w:r>
    </w:p>
    <w:p>
      <w:pPr>
        <w:pStyle w:val="Compact"/>
        <w:numPr>
          <w:ilvl w:val="0"/>
          <w:numId w:val="1006"/>
        </w:numPr>
      </w:pPr>
      <w:r>
        <w:rPr>
          <w:b/>
          <w:bCs/>
        </w:rPr>
        <w:t xml:space="preserve">Température désaisonnalisée :</w:t>
      </w:r>
      <w:r>
        <w:t xml:space="preserve"> </w:t>
      </w:r>
      <w:r>
        <w:t xml:space="preserve">stationnaire autour d’une tendance de</w:t>
      </w:r>
      <w:r>
        <w:t xml:space="preserve"> </w:t>
      </w:r>
      <w:r>
        <w:rPr>
          <w:b/>
          <w:bCs/>
        </w:rPr>
        <w:t xml:space="preserve">+0,59 °C par décennie</w:t>
      </w:r>
      <w:r>
        <w:t xml:space="preserve"> </w:t>
      </w:r>
      <w:r>
        <w:t xml:space="preserve">(le KPSS rejette autour d’une constante, pas autour d’une tendance), un réchauffement compatible avec celui observé en Méditerranée.</w:t>
      </w:r>
    </w:p>
    <w:p>
      <w:pPr>
        <w:pStyle w:val="Compact"/>
        <w:numPr>
          <w:ilvl w:val="0"/>
          <w:numId w:val="1006"/>
        </w:numPr>
      </w:pPr>
      <w:r>
        <w:rPr>
          <w:b/>
          <w:bCs/>
        </w:rPr>
        <w:t xml:space="preserve">Ordre de différenciation retenu : d = 0 et D = 0</w:t>
      </w:r>
      <w:r>
        <w:t xml:space="preserve">, le cycle annuel étant déterministe et représenté par des termes de Fourier.</w:t>
      </w:r>
    </w:p>
    <w:bookmarkEnd w:id="49"/>
    <w:bookmarkStart w:id="50" w:name="choix-des-variables"/>
    <w:p>
      <w:pPr>
        <w:pStyle w:val="Heading2"/>
      </w:pPr>
      <w:r>
        <w:t xml:space="preserve">3.7 Choix des variables</w:t>
      </w:r>
    </w:p>
    <w:p>
      <w:pPr>
        <w:pStyle w:val="FirstParagraph"/>
      </w:pPr>
      <w:r>
        <w:t xml:space="preserve">Plus de 50 variables candidates ont été classées par trois critères calculés sur l’apprentissage : corrélation de Spearman, information mutuelle et importance par permutation d’un gradient boosting.</w:t>
      </w:r>
    </w:p>
    <w:p>
      <w:pPr>
        <w:pStyle w:val="TableCaption"/>
      </w:pPr>
      <w:r>
        <w:t xml:space="preserve">Huit premières variables selon le rang moyen (Spearman, information mutuelle, permutation).</w:t>
      </w:r>
    </w:p>
    <w:tbl>
      <w:tblPr>
        <w:tblStyle w:val="Table"/>
        <w:tblW w:type="pct" w:w="5000"/>
        <w:tblLayout w:type="fixed"/>
        <w:tblLook w:firstRow="1" w:lastRow="0" w:firstColumn="0" w:lastColumn="0" w:noHBand="0" w:noVBand="0" w:val="0020"/>
        <w:tblCaption w:val="Huit premières variables selon le rang moyen (Spearman, information mutuelle, permutation)."/>
      </w:tblPr>
      <w:tblGrid>
        <w:gridCol w:w="1584"/>
        <w:gridCol w:w="1584"/>
        <w:gridCol w:w="1584"/>
        <w:gridCol w:w="1584"/>
        <w:gridCol w:w="1584"/>
      </w:tblGrid>
      <w:tr>
        <w:trPr>
          <w:tblHeader w:val="on"/>
        </w:trPr>
        <w:tc>
          <w:tcPr/>
          <w:p>
            <w:pPr>
              <w:pStyle w:val="Compact"/>
            </w:pPr>
            <w:r>
              <w:t xml:space="preserve">Rang</w:t>
            </w:r>
          </w:p>
        </w:tc>
        <w:tc>
          <w:tcPr/>
          <w:p>
            <w:pPr>
              <w:pStyle w:val="Compact"/>
            </w:pPr>
            <w:r>
              <w:t xml:space="preserve">Ex ante (lendemain)</w:t>
            </w:r>
          </w:p>
        </w:tc>
        <w:tc>
          <w:tcPr/>
          <w:p>
            <w:pPr>
              <w:pStyle w:val="Compact"/>
            </w:pPr>
            <w:r>
              <w:t xml:space="preserve">Permutation</w:t>
            </w:r>
          </w:p>
        </w:tc>
        <w:tc>
          <w:tcPr/>
          <w:p>
            <w:pPr>
              <w:pStyle w:val="Compact"/>
            </w:pPr>
            <w:r>
              <w:t xml:space="preserve">Ex post (jour même)</w:t>
            </w:r>
          </w:p>
        </w:tc>
        <w:tc>
          <w:tcPr/>
          <w:p>
            <w:pPr>
              <w:pStyle w:val="Compact"/>
            </w:pPr>
            <w:r>
              <w:t xml:space="preserve">Permutation</w:t>
            </w:r>
          </w:p>
        </w:tc>
      </w:tr>
      <w:tr>
        <w:tc>
          <w:tcPr/>
          <w:p>
            <w:pPr>
              <w:pStyle w:val="Compact"/>
            </w:pPr>
            <w:r>
              <w:t xml:space="preserve">1</w:t>
            </w:r>
          </w:p>
        </w:tc>
        <w:tc>
          <w:tcPr/>
          <w:p>
            <w:pPr>
              <w:pStyle w:val="Compact"/>
            </w:pPr>
            <w:r>
              <w:rPr>
                <w:rStyle w:val="VerbatimChar"/>
              </w:rPr>
              <w:t xml:space="preserve">ensoleillement_h_veille</w:t>
            </w:r>
          </w:p>
        </w:tc>
        <w:tc>
          <w:tcPr/>
          <w:p>
            <w:pPr>
              <w:pStyle w:val="Compact"/>
            </w:pPr>
            <w:r>
              <w:t xml:space="preserve">0,047</w:t>
            </w:r>
          </w:p>
        </w:tc>
        <w:tc>
          <w:tcPr/>
          <w:p>
            <w:pPr>
              <w:pStyle w:val="Compact"/>
            </w:pPr>
            <w:r>
              <w:rPr>
                <w:rStyle w:val="VerbatimChar"/>
              </w:rPr>
              <w:t xml:space="preserve">nebulosite_nasa_pct</w:t>
            </w:r>
          </w:p>
        </w:tc>
        <w:tc>
          <w:tcPr/>
          <w:p>
            <w:pPr>
              <w:pStyle w:val="Compact"/>
            </w:pPr>
            <w:r>
              <w:t xml:space="preserve">0,924</w:t>
            </w:r>
          </w:p>
        </w:tc>
      </w:tr>
      <w:tr>
        <w:tc>
          <w:tcPr/>
          <w:p>
            <w:pPr>
              <w:pStyle w:val="Compact"/>
            </w:pPr>
            <w:r>
              <w:t xml:space="preserve">2</w:t>
            </w:r>
          </w:p>
        </w:tc>
        <w:tc>
          <w:tcPr/>
          <w:p>
            <w:pPr>
              <w:pStyle w:val="Compact"/>
            </w:pPr>
            <w:r>
              <w:rPr>
                <w:rStyle w:val="VerbatimChar"/>
              </w:rPr>
              <w:t xml:space="preserve">irr_extraterrestre_kwh_m2</w:t>
            </w:r>
          </w:p>
        </w:tc>
        <w:tc>
          <w:tcPr/>
          <w:p>
            <w:pPr>
              <w:pStyle w:val="Compact"/>
            </w:pPr>
            <w:r>
              <w:t xml:space="preserve">0,080</w:t>
            </w:r>
          </w:p>
        </w:tc>
        <w:tc>
          <w:tcPr/>
          <w:p>
            <w:pPr>
              <w:pStyle w:val="Compact"/>
            </w:pPr>
            <w:r>
              <w:rPr>
                <w:rStyle w:val="VerbatimChar"/>
              </w:rPr>
              <w:t xml:space="preserve">ghi_ciel_clair_kwh_m2</w:t>
            </w:r>
          </w:p>
        </w:tc>
        <w:tc>
          <w:tcPr/>
          <w:p>
            <w:pPr>
              <w:pStyle w:val="Compact"/>
            </w:pPr>
            <w:r>
              <w:t xml:space="preserve">0,122</w:t>
            </w:r>
          </w:p>
        </w:tc>
      </w:tr>
      <w:tr>
        <w:tc>
          <w:tcPr/>
          <w:p>
            <w:pPr>
              <w:pStyle w:val="Compact"/>
            </w:pPr>
            <w:r>
              <w:t xml:space="preserve">3</w:t>
            </w:r>
          </w:p>
        </w:tc>
        <w:tc>
          <w:tcPr/>
          <w:p>
            <w:pPr>
              <w:pStyle w:val="Compact"/>
            </w:pPr>
            <w:r>
              <w:rPr>
                <w:rStyle w:val="VerbatimChar"/>
              </w:rPr>
              <w:t xml:space="preserve">ghi_ciel_clair_kwh_m2_veille</w:t>
            </w:r>
          </w:p>
        </w:tc>
        <w:tc>
          <w:tcPr/>
          <w:p>
            <w:pPr>
              <w:pStyle w:val="Compact"/>
            </w:pPr>
            <w:r>
              <w:t xml:space="preserve">0,022</w:t>
            </w:r>
          </w:p>
        </w:tc>
        <w:tc>
          <w:tcPr/>
          <w:p>
            <w:pPr>
              <w:pStyle w:val="Compact"/>
            </w:pPr>
            <w:r>
              <w:rPr>
                <w:rStyle w:val="VerbatimChar"/>
              </w:rPr>
              <w:t xml:space="preserve">irr_extraterrestre_kwh_m2</w:t>
            </w:r>
          </w:p>
        </w:tc>
        <w:tc>
          <w:tcPr/>
          <w:p>
            <w:pPr>
              <w:pStyle w:val="Compact"/>
            </w:pPr>
            <w:r>
              <w:t xml:space="preserve">0,131</w:t>
            </w:r>
          </w:p>
        </w:tc>
      </w:tr>
      <w:tr>
        <w:tc>
          <w:tcPr/>
          <w:p>
            <w:pPr>
              <w:pStyle w:val="Compact"/>
            </w:pPr>
            <w:r>
              <w:t xml:space="preserve">4</w:t>
            </w:r>
          </w:p>
        </w:tc>
        <w:tc>
          <w:tcPr/>
          <w:p>
            <w:pPr>
              <w:pStyle w:val="Compact"/>
            </w:pPr>
            <w:r>
              <w:rPr>
                <w:rStyle w:val="VerbatimChar"/>
              </w:rPr>
              <w:t xml:space="preserve">par_kwh_m2_veille</w:t>
            </w:r>
          </w:p>
        </w:tc>
        <w:tc>
          <w:tcPr/>
          <w:p>
            <w:pPr>
              <w:pStyle w:val="Compact"/>
            </w:pPr>
            <w:r>
              <w:t xml:space="preserve">0,011</w:t>
            </w:r>
          </w:p>
        </w:tc>
        <w:tc>
          <w:tcPr/>
          <w:p>
            <w:pPr>
              <w:pStyle w:val="Compact"/>
            </w:pPr>
            <w:r>
              <w:rPr>
                <w:rStyle w:val="VerbatimChar"/>
              </w:rPr>
              <w:t xml:space="preserve">nebulosite_pct</w:t>
            </w:r>
          </w:p>
        </w:tc>
        <w:tc>
          <w:tcPr/>
          <w:p>
            <w:pPr>
              <w:pStyle w:val="Compact"/>
            </w:pPr>
            <w:r>
              <w:t xml:space="preserve">0,010</w:t>
            </w:r>
          </w:p>
        </w:tc>
      </w:tr>
      <w:tr>
        <w:tc>
          <w:tcPr/>
          <w:p>
            <w:pPr>
              <w:pStyle w:val="Compact"/>
            </w:pPr>
            <w:r>
              <w:t xml:space="preserve">5</w:t>
            </w:r>
          </w:p>
        </w:tc>
        <w:tc>
          <w:tcPr/>
          <w:p>
            <w:pPr>
              <w:pStyle w:val="Compact"/>
            </w:pPr>
            <w:r>
              <w:rPr>
                <w:rStyle w:val="VerbatimChar"/>
              </w:rPr>
              <w:t xml:space="preserve">ghi_era5_kwh_m2_veille</w:t>
            </w:r>
          </w:p>
        </w:tc>
        <w:tc>
          <w:tcPr/>
          <w:p>
            <w:pPr>
              <w:pStyle w:val="Compact"/>
            </w:pPr>
            <w:r>
              <w:t xml:space="preserve">0,012</w:t>
            </w:r>
          </w:p>
        </w:tc>
        <w:tc>
          <w:tcPr/>
          <w:p>
            <w:pPr>
              <w:pStyle w:val="Compact"/>
            </w:pPr>
            <w:r>
              <w:rPr>
                <w:rStyle w:val="VerbatimChar"/>
              </w:rPr>
              <w:t xml:space="preserve">amplitude_thermique_c</w:t>
            </w:r>
          </w:p>
        </w:tc>
        <w:tc>
          <w:tcPr/>
          <w:p>
            <w:pPr>
              <w:pStyle w:val="Compact"/>
            </w:pPr>
            <w:r>
              <w:t xml:space="preserve">0,130</w:t>
            </w:r>
          </w:p>
        </w:tc>
      </w:tr>
      <w:tr>
        <w:tc>
          <w:tcPr/>
          <w:p>
            <w:pPr>
              <w:pStyle w:val="Compact"/>
            </w:pPr>
            <w:r>
              <w:t xml:space="preserve">6</w:t>
            </w:r>
          </w:p>
        </w:tc>
        <w:tc>
          <w:tcPr/>
          <w:p>
            <w:pPr>
              <w:pStyle w:val="Compact"/>
            </w:pPr>
            <w:r>
              <w:rPr>
                <w:rStyle w:val="VerbatimChar"/>
              </w:rPr>
              <w:t xml:space="preserve">indice_uv_veille</w:t>
            </w:r>
          </w:p>
        </w:tc>
        <w:tc>
          <w:tcPr/>
          <w:p>
            <w:pPr>
              <w:pStyle w:val="Compact"/>
            </w:pPr>
            <w:r>
              <w:t xml:space="preserve">0,011</w:t>
            </w:r>
          </w:p>
        </w:tc>
        <w:tc>
          <w:tcPr/>
          <w:p>
            <w:pPr>
              <w:pStyle w:val="Compact"/>
            </w:pPr>
            <w:r>
              <w:rPr>
                <w:rStyle w:val="VerbatimChar"/>
              </w:rPr>
              <w:t xml:space="preserve">duree_jour_astro_h</w:t>
            </w:r>
          </w:p>
        </w:tc>
        <w:tc>
          <w:tcPr/>
          <w:p>
            <w:pPr>
              <w:pStyle w:val="Compact"/>
            </w:pPr>
            <w:r>
              <w:t xml:space="preserve">0,009</w:t>
            </w:r>
          </w:p>
        </w:tc>
      </w:tr>
      <w:tr>
        <w:tc>
          <w:tcPr/>
          <w:p>
            <w:pPr>
              <w:pStyle w:val="Compact"/>
            </w:pPr>
            <w:r>
              <w:t xml:space="preserve">7</w:t>
            </w:r>
          </w:p>
        </w:tc>
        <w:tc>
          <w:tcPr/>
          <w:p>
            <w:pPr>
              <w:pStyle w:val="Compact"/>
            </w:pPr>
            <w:r>
              <w:rPr>
                <w:rStyle w:val="VerbatimChar"/>
              </w:rPr>
              <w:t xml:space="preserve">jds_cos</w:t>
            </w:r>
          </w:p>
        </w:tc>
        <w:tc>
          <w:tcPr/>
          <w:p>
            <w:pPr>
              <w:pStyle w:val="Compact"/>
            </w:pPr>
            <w:r>
              <w:t xml:space="preserve">0,010</w:t>
            </w:r>
          </w:p>
        </w:tc>
        <w:tc>
          <w:tcPr/>
          <w:p>
            <w:pPr>
              <w:pStyle w:val="Compact"/>
            </w:pPr>
            <w:r>
              <w:rPr>
                <w:rStyle w:val="VerbatimChar"/>
              </w:rPr>
              <w:t xml:space="preserve">t2m_max_c</w:t>
            </w:r>
          </w:p>
        </w:tc>
        <w:tc>
          <w:tcPr/>
          <w:p>
            <w:pPr>
              <w:pStyle w:val="Compact"/>
            </w:pPr>
            <w:r>
              <w:t xml:space="preserve">0,017</w:t>
            </w:r>
          </w:p>
        </w:tc>
      </w:tr>
      <w:tr>
        <w:tc>
          <w:tcPr/>
          <w:p>
            <w:pPr>
              <w:pStyle w:val="Compact"/>
            </w:pPr>
            <w:r>
              <w:t xml:space="preserve">8</w:t>
            </w:r>
          </w:p>
        </w:tc>
        <w:tc>
          <w:tcPr/>
          <w:p>
            <w:pPr>
              <w:pStyle w:val="Compact"/>
            </w:pPr>
            <w:r>
              <w:rPr>
                <w:rStyle w:val="VerbatimChar"/>
              </w:rPr>
              <w:t xml:space="preserve">ghi_nasa_kwh_m2_veille</w:t>
            </w:r>
          </w:p>
        </w:tc>
        <w:tc>
          <w:tcPr/>
          <w:p>
            <w:pPr>
              <w:pStyle w:val="Compact"/>
            </w:pPr>
            <w:r>
              <w:t xml:space="preserve">-0,003</w:t>
            </w:r>
          </w:p>
        </w:tc>
        <w:tc>
          <w:tcPr/>
          <w:p>
            <w:pPr>
              <w:pStyle w:val="Compact"/>
            </w:pPr>
            <w:r>
              <w:rPr>
                <w:rStyle w:val="VerbatimChar"/>
              </w:rPr>
              <w:t xml:space="preserve">jds_cos</w:t>
            </w:r>
          </w:p>
        </w:tc>
        <w:tc>
          <w:tcPr/>
          <w:p>
            <w:pPr>
              <w:pStyle w:val="Compact"/>
            </w:pPr>
            <w:r>
              <w:t xml:space="preserve">0,001</w:t>
            </w:r>
          </w:p>
        </w:tc>
      </w:tr>
    </w:tbl>
    <w:p>
      <w:pPr>
        <w:pStyle w:val="Compact"/>
        <w:numPr>
          <w:ilvl w:val="0"/>
          <w:numId w:val="1007"/>
        </w:numPr>
      </w:pPr>
      <w:r>
        <w:rPr>
          <w:b/>
          <w:bCs/>
        </w:rPr>
        <w:t xml:space="preserve">Ex ante</w:t>
      </w:r>
      <w:r>
        <w:t xml:space="preserve">, la production du lendemain est peu prévisible : 33 variables n’expliquent que 40 % de la variance. Les plus utiles sont la nébulosité satellite de la veille, le rayonnement extraterrestre et l’ensoleillement de la veille ; les trois sources d’irradiation sont redondantes.</w:t>
      </w:r>
    </w:p>
    <w:p>
      <w:pPr>
        <w:pStyle w:val="Compact"/>
        <w:numPr>
          <w:ilvl w:val="0"/>
          <w:numId w:val="1007"/>
        </w:numPr>
      </w:pPr>
      <w:r>
        <w:rPr>
          <w:b/>
          <w:bCs/>
        </w:rPr>
        <w:t xml:space="preserve">Ex post</w:t>
      </w:r>
      <w:r>
        <w:t xml:space="preserve">, la météo du jour explique 79 % de la variance, la nébulosité satellite NASA dominant de loin.</w:t>
      </w:r>
    </w:p>
    <w:p>
      <w:pPr>
        <w:pStyle w:val="Compact"/>
        <w:numPr>
          <w:ilvl w:val="0"/>
          <w:numId w:val="1007"/>
        </w:numPr>
      </w:pPr>
      <w:r>
        <w:rPr>
          <w:b/>
          <w:bCs/>
        </w:rPr>
        <w:t xml:space="preserve">Choix.</w:t>
      </w:r>
      <w:r>
        <w:t xml:space="preserve"> </w:t>
      </w:r>
      <w:r>
        <w:t xml:space="preserve">Les modèles ex post ne reçoivent que ce qu’</w:t>
      </w:r>
      <w:r>
        <w:rPr>
          <w:b/>
          <w:bCs/>
        </w:rPr>
        <w:t xml:space="preserve">une prévision météo fournit</w:t>
      </w:r>
      <w:r>
        <w:t xml:space="preserve"> </w:t>
      </w:r>
      <w:r>
        <w:t xml:space="preserve">: nébulosité ERA5, pluie, humidité, amplitude thermique, aérosols, et l’interaction nébulosité x potentiel solaire. La nébulosité NASA, observation satellite non disponible en prévision, et l’irradiation PVGIS, dont la production est calculée, sont exclues. VIF des variables retenues : au plus 6.</w:t>
      </w:r>
    </w:p>
    <w:bookmarkEnd w:id="50"/>
    <w:bookmarkEnd w:id="51"/>
    <w:bookmarkStart w:id="67" w:name="modélisation-classique"/>
    <w:p>
      <w:pPr>
        <w:pStyle w:val="Heading1"/>
      </w:pPr>
      <w:r>
        <w:t xml:space="preserve">4. Modélisation classique</w:t>
      </w:r>
    </w:p>
    <w:bookmarkStart w:id="55" w:name="X255f697d5fa676bb902441924e9023235e27d61"/>
    <w:p>
      <w:pPr>
        <w:pStyle w:val="Heading2"/>
      </w:pPr>
      <w:r>
        <w:t xml:space="preserve">4.1 ARIMA à termes de Fourier et SARIMA mensuel</w:t>
      </w:r>
    </w:p>
    <w:p>
      <w:pPr>
        <w:pStyle w:val="FirstParagraph"/>
      </w:pPr>
      <w:r>
        <w:rPr>
          <w:b/>
          <w:bCs/>
        </w:rPr>
        <w:t xml:space="preserve">Pourquoi pas un SARIMA journalier de période 365 ?</w:t>
      </w:r>
      <w:r>
        <w:t xml:space="preserve"> </w:t>
      </w:r>
      <w:r>
        <w:t xml:space="preserve">Il demanderait un état de plus de 365 dimensions estimé sur 17 cycles. On suit la recommandation de Hyndman et Athanasopoulos (régression harmonique dynamique) : un ARIMA dont le cycle annuel est porté par des termes de Fourier. Le SARIMA au sens strict est estimé sur la série mensuelle.</w:t>
      </w:r>
    </w:p>
    <w:p>
      <w:pPr>
        <w:pStyle w:val="BodyText"/>
      </w:pPr>
      <w:r>
        <w:rPr>
          <w:b/>
          <w:bCs/>
        </w:rPr>
        <w:t xml:space="preserve">Identification.</w:t>
      </w:r>
      <w:r>
        <w:t xml:space="preserve"> </w:t>
      </w:r>
      <w:r>
        <w:t xml:space="preserve">La grille (p de 1 à 3, q de 0 à 2, K de 2 à 4) retient</w:t>
      </w:r>
      <w:r>
        <w:t xml:space="preserve"> </w:t>
      </w:r>
      <w:r>
        <w:rPr>
          <w:b/>
          <w:bCs/>
        </w:rPr>
        <w:t xml:space="preserve">ARIMA(1,0,0) + Fourier K = 2</w:t>
      </w:r>
      <w:r>
        <w:t xml:space="preserve"> </w:t>
      </w:r>
      <w:r>
        <w:t xml:space="preserve">au BIC (18 977,6).</w:t>
      </w:r>
      <w:r>
        <w:t xml:space="preserve"> </w:t>
      </w:r>
      <w:r>
        <w:rPr>
          <w:rStyle w:val="VerbatimChar"/>
        </w:rPr>
        <w:t xml:space="preserve">pmdarima.auto_arima</w:t>
      </w:r>
      <w:r>
        <w:t xml:space="preserve"> </w:t>
      </w:r>
      <w:r>
        <w:t xml:space="preserve">et</w:t>
      </w:r>
      <w:r>
        <w:t xml:space="preserve"> </w:t>
      </w:r>
      <w:r>
        <w:rPr>
          <w:rStyle w:val="VerbatimChar"/>
        </w:rPr>
        <w:t xml:space="preserve">auto.arima</w:t>
      </w:r>
      <w:r>
        <w:t xml:space="preserve"> </w:t>
      </w:r>
      <w:r>
        <w:t xml:space="preserve">en R, avec les mêmes termes de Fourier, retiennent exactement le même modèle, et les tests de différenciation donnent tous d = 0 : identification manuelle et automatique convergent. AR(1) = 0,263 ; écart-type de l’erreur à un jour : 1,10 kWh/kWc.</w:t>
      </w:r>
    </w:p>
    <w:p>
      <w:pPr>
        <w:pStyle w:val="BodyText"/>
      </w:pPr>
      <w:r>
        <w:rPr>
          <w:b/>
          <w:bCs/>
        </w:rPr>
        <w:t xml:space="preserve">SARIMAX météo (ex post).</w:t>
      </w:r>
      <w:r>
        <w:t xml:space="preserve"> </w:t>
      </w:r>
      <w:r>
        <w:t xml:space="preserve">L’écart-type de l’erreur tombe à 0,767 kWh/kWc (-30 %). Les coefficients ont un sens physique : -0,26 kWh/kWc pour 10 points de nébulosité, un peu moins en été ; -0,063 par mm de pluie ;</w:t>
      </w:r>
      <w:r>
        <w:t xml:space="preserve"> </w:t>
      </w:r>
      <w:r>
        <w:rPr>
          <w:b/>
          <w:bCs/>
        </w:rPr>
        <w:t xml:space="preserve">-0,96 par unité d’épaisseur optique des aérosols</w:t>
      </w:r>
      <w:r>
        <w:t xml:space="preserve"> </w:t>
      </w:r>
      <w:r>
        <w:t xml:space="preserve">(un épisode de poussières sahariennes à 1,0 coûte environ 20 % d’une journée moyenne) ; +0,093 par degré d’amplitude thermique. L’AR(1) tombe à 0,11 : la persistance de la production venait de celle de la météo.</w:t>
      </w:r>
    </w:p>
    <w:p>
      <w:pPr>
        <w:pStyle w:val="TableCaption"/>
      </w:pPr>
      <w:r>
        <w:t xml:space="preserve">Diagnostic des résidus (p de l’ARCH-LM inférieure à 0,001 pour les trois modèles).</w:t>
      </w:r>
    </w:p>
    <w:tbl>
      <w:tblPr>
        <w:tblStyle w:val="Table"/>
        <w:tblW w:type="pct" w:w="5000"/>
        <w:tblLayout w:type="fixed"/>
        <w:tblLook w:firstRow="1" w:lastRow="0" w:firstColumn="0" w:lastColumn="0" w:noHBand="0" w:noVBand="0" w:val="0020"/>
        <w:tblCaption w:val="Diagnostic des résidus (p de l’ARCH-LM inférieure à 0,001 pour les trois modèles)."/>
      </w:tblPr>
      <w:tblGrid>
        <w:gridCol w:w="990"/>
        <w:gridCol w:w="990"/>
        <w:gridCol w:w="990"/>
        <w:gridCol w:w="990"/>
        <w:gridCol w:w="990"/>
        <w:gridCol w:w="990"/>
        <w:gridCol w:w="990"/>
        <w:gridCol w:w="990"/>
      </w:tblGrid>
      <w:tr>
        <w:trPr>
          <w:tblHeader w:val="on"/>
        </w:trPr>
        <w:tc>
          <w:tcPr/>
          <w:p>
            <w:pPr>
              <w:pStyle w:val="Compact"/>
            </w:pPr>
            <w:r>
              <w:t xml:space="preserve">Modèle</w:t>
            </w:r>
          </w:p>
        </w:tc>
        <w:tc>
          <w:tcPr/>
          <w:p>
            <w:pPr>
              <w:pStyle w:val="Compact"/>
            </w:pPr>
            <w:r>
              <w:t xml:space="preserve">p LB(10)</w:t>
            </w:r>
          </w:p>
        </w:tc>
        <w:tc>
          <w:tcPr/>
          <w:p>
            <w:pPr>
              <w:pStyle w:val="Compact"/>
            </w:pPr>
            <w:r>
              <w:t xml:space="preserve">p LB(30)</w:t>
            </w:r>
          </w:p>
        </w:tc>
        <w:tc>
          <w:tcPr/>
          <w:p>
            <w:pPr>
              <w:pStyle w:val="Compact"/>
            </w:pPr>
            <w:r>
              <w:t xml:space="preserve">max abs(ACF)</w:t>
            </w:r>
          </w:p>
        </w:tc>
        <w:tc>
          <w:tcPr/>
          <w:p>
            <w:pPr>
              <w:pStyle w:val="Compact"/>
            </w:pPr>
            <w:r>
              <w:t xml:space="preserve">p JB</w:t>
            </w:r>
          </w:p>
        </w:tc>
        <w:tc>
          <w:tcPr/>
          <w:p>
            <w:pPr>
              <w:pStyle w:val="Compact"/>
            </w:pPr>
            <w:r>
              <w:t xml:space="preserve">Asymétrie</w:t>
            </w:r>
          </w:p>
        </w:tc>
        <w:tc>
          <w:tcPr/>
          <w:p>
            <w:pPr>
              <w:pStyle w:val="Compact"/>
            </w:pPr>
            <w:r>
              <w:t xml:space="preserve">Kurtosis</w:t>
            </w:r>
          </w:p>
        </w:tc>
        <w:tc>
          <w:tcPr/>
          <w:p>
            <w:pPr>
              <w:pStyle w:val="Compact"/>
            </w:pPr>
            <w:r>
              <w:t xml:space="preserve">ARCH-LM(7)</w:t>
            </w:r>
          </w:p>
        </w:tc>
      </w:tr>
      <w:tr>
        <w:tc>
          <w:tcPr/>
          <w:p>
            <w:pPr>
              <w:pStyle w:val="Compact"/>
            </w:pPr>
            <w:r>
              <w:t xml:space="preserve">ARIMA-Fourier manuel</w:t>
            </w:r>
          </w:p>
        </w:tc>
        <w:tc>
          <w:tcPr/>
          <w:p>
            <w:pPr>
              <w:pStyle w:val="Compact"/>
            </w:pPr>
            <w:r>
              <w:t xml:space="preserve">0,092</w:t>
            </w:r>
          </w:p>
        </w:tc>
        <w:tc>
          <w:tcPr/>
          <w:p>
            <w:pPr>
              <w:pStyle w:val="Compact"/>
            </w:pPr>
            <w:r>
              <w:t xml:space="preserve">0,251</w:t>
            </w:r>
          </w:p>
        </w:tc>
        <w:tc>
          <w:tcPr/>
          <w:p>
            <w:pPr>
              <w:pStyle w:val="Compact"/>
            </w:pPr>
            <w:r>
              <w:t xml:space="preserve">0,035</w:t>
            </w:r>
          </w:p>
        </w:tc>
        <w:tc>
          <w:tcPr/>
          <w:p>
            <w:pPr>
              <w:pStyle w:val="Compact"/>
            </w:pPr>
            <w:r>
              <w:t xml:space="preserve">&lt; 0,001</w:t>
            </w:r>
          </w:p>
        </w:tc>
        <w:tc>
          <w:tcPr/>
          <w:p>
            <w:pPr>
              <w:pStyle w:val="Compact"/>
            </w:pPr>
            <w:r>
              <w:t xml:space="preserve">-0,94</w:t>
            </w:r>
          </w:p>
        </w:tc>
        <w:tc>
          <w:tcPr/>
          <w:p>
            <w:pPr>
              <w:pStyle w:val="Compact"/>
            </w:pPr>
            <w:r>
              <w:t xml:space="preserve">3,71</w:t>
            </w:r>
          </w:p>
        </w:tc>
        <w:tc>
          <w:tcPr/>
          <w:p>
            <w:pPr>
              <w:pStyle w:val="Compact"/>
            </w:pPr>
            <w:r>
              <w:t xml:space="preserve">235,0</w:t>
            </w:r>
          </w:p>
        </w:tc>
      </w:tr>
      <w:tr>
        <w:tc>
          <w:tcPr/>
          <w:p>
            <w:pPr>
              <w:pStyle w:val="Compact"/>
            </w:pPr>
            <w:r>
              <w:t xml:space="preserve">ARIMA-Fourier auto</w:t>
            </w:r>
          </w:p>
        </w:tc>
        <w:tc>
          <w:tcPr/>
          <w:p>
            <w:pPr>
              <w:pStyle w:val="Compact"/>
            </w:pPr>
            <w:r>
              <w:t xml:space="preserve">0,092</w:t>
            </w:r>
          </w:p>
        </w:tc>
        <w:tc>
          <w:tcPr/>
          <w:p>
            <w:pPr>
              <w:pStyle w:val="Compact"/>
            </w:pPr>
            <w:r>
              <w:t xml:space="preserve">0,251</w:t>
            </w:r>
          </w:p>
        </w:tc>
        <w:tc>
          <w:tcPr/>
          <w:p>
            <w:pPr>
              <w:pStyle w:val="Compact"/>
            </w:pPr>
            <w:r>
              <w:t xml:space="preserve">0,035</w:t>
            </w:r>
          </w:p>
        </w:tc>
        <w:tc>
          <w:tcPr/>
          <w:p>
            <w:pPr>
              <w:pStyle w:val="Compact"/>
            </w:pPr>
            <w:r>
              <w:t xml:space="preserve">&lt; 0,001</w:t>
            </w:r>
          </w:p>
        </w:tc>
        <w:tc>
          <w:tcPr/>
          <w:p>
            <w:pPr>
              <w:pStyle w:val="Compact"/>
            </w:pPr>
            <w:r>
              <w:t xml:space="preserve">-0,94</w:t>
            </w:r>
          </w:p>
        </w:tc>
        <w:tc>
          <w:tcPr/>
          <w:p>
            <w:pPr>
              <w:pStyle w:val="Compact"/>
            </w:pPr>
            <w:r>
              <w:t xml:space="preserve">3,71</w:t>
            </w:r>
          </w:p>
        </w:tc>
        <w:tc>
          <w:tcPr/>
          <w:p>
            <w:pPr>
              <w:pStyle w:val="Compact"/>
            </w:pPr>
            <w:r>
              <w:t xml:space="preserve">235,0</w:t>
            </w:r>
          </w:p>
        </w:tc>
      </w:tr>
      <w:tr>
        <w:tc>
          <w:tcPr/>
          <w:p>
            <w:pPr>
              <w:pStyle w:val="Compact"/>
            </w:pPr>
            <w:r>
              <w:t xml:space="preserve">SARIMAX météo</w:t>
            </w:r>
          </w:p>
        </w:tc>
        <w:tc>
          <w:tcPr/>
          <w:p>
            <w:pPr>
              <w:pStyle w:val="Compact"/>
            </w:pPr>
            <w:r>
              <w:t xml:space="preserve">0,062</w:t>
            </w:r>
          </w:p>
        </w:tc>
        <w:tc>
          <w:tcPr/>
          <w:p>
            <w:pPr>
              <w:pStyle w:val="Compact"/>
            </w:pPr>
            <w:r>
              <w:t xml:space="preserve">0,017</w:t>
            </w:r>
          </w:p>
        </w:tc>
        <w:tc>
          <w:tcPr/>
          <w:p>
            <w:pPr>
              <w:pStyle w:val="Compact"/>
            </w:pPr>
            <w:r>
              <w:t xml:space="preserve">0,034</w:t>
            </w:r>
          </w:p>
        </w:tc>
        <w:tc>
          <w:tcPr/>
          <w:p>
            <w:pPr>
              <w:pStyle w:val="Compact"/>
            </w:pPr>
            <w:r>
              <w:t xml:space="preserve">&lt; 0,001</w:t>
            </w:r>
          </w:p>
        </w:tc>
        <w:tc>
          <w:tcPr/>
          <w:p>
            <w:pPr>
              <w:pStyle w:val="Compact"/>
            </w:pPr>
            <w:r>
              <w:t xml:space="preserve">-0,52</w:t>
            </w:r>
          </w:p>
        </w:tc>
        <w:tc>
          <w:tcPr/>
          <w:p>
            <w:pPr>
              <w:pStyle w:val="Compact"/>
            </w:pPr>
            <w:r>
              <w:t xml:space="preserve">3,83</w:t>
            </w:r>
          </w:p>
        </w:tc>
        <w:tc>
          <w:tcPr/>
          <w:p>
            <w:pPr>
              <w:pStyle w:val="Compact"/>
            </w:pPr>
            <w:r>
              <w:t xml:space="preserve">134,5</w:t>
            </w:r>
          </w:p>
        </w:tc>
      </w:tr>
    </w:tbl>
    <w:p>
      <w:pPr>
        <w:pStyle w:val="CaptionedFigure"/>
      </w:pPr>
      <w:r>
        <w:drawing>
          <wp:inline>
            <wp:extent cx="4319999" cy="2502453"/>
            <wp:effectExtent b="0" l="0" r="0" t="0"/>
            <wp:docPr descr="Diagnostic des résidus de l’ARIMA-Fourier" title="" id="53" name="Picture"/>
            <a:graphic>
              <a:graphicData uri="http://schemas.openxmlformats.org/drawingml/2006/picture">
                <pic:pic>
                  <pic:nvPicPr>
                    <pic:cNvPr descr="../figures/09_diagnostic_arima.png" id="54" name="Picture"/>
                    <pic:cNvPicPr>
                      <a:picLocks noChangeArrowheads="1" noChangeAspect="1"/>
                    </pic:cNvPicPr>
                  </pic:nvPicPr>
                  <pic:blipFill>
                    <a:blip r:embed="rId52"/>
                    <a:stretch>
                      <a:fillRect/>
                    </a:stretch>
                  </pic:blipFill>
                  <pic:spPr bwMode="auto">
                    <a:xfrm>
                      <a:off x="0" y="0"/>
                      <a:ext cx="4319999" cy="2502453"/>
                    </a:xfrm>
                    <a:prstGeom prst="rect">
                      <a:avLst/>
                    </a:prstGeom>
                    <a:noFill/>
                    <a:ln w="9525">
                      <a:noFill/>
                      <a:headEnd/>
                      <a:tailEnd/>
                    </a:ln>
                  </pic:spPr>
                </pic:pic>
              </a:graphicData>
            </a:graphic>
          </wp:inline>
        </w:drawing>
      </w:r>
    </w:p>
    <w:p>
      <w:pPr>
        <w:pStyle w:val="ImageCaption"/>
      </w:pPr>
      <w:r>
        <w:t xml:space="preserve">Diagnostic des résidus de l’ARIMA-Fourier</w:t>
      </w:r>
    </w:p>
    <w:p>
      <w:pPr>
        <w:pStyle w:val="Compact"/>
        <w:numPr>
          <w:ilvl w:val="0"/>
          <w:numId w:val="1008"/>
        </w:numPr>
      </w:pPr>
      <w:r>
        <w:rPr>
          <w:b/>
          <w:bCs/>
        </w:rPr>
        <w:t xml:space="preserve">Indépendance :</w:t>
      </w:r>
      <w:r>
        <w:t xml:space="preserve"> </w:t>
      </w:r>
      <w:r>
        <w:t xml:space="preserve">Ljung-Box non rejeté pour l’ARIMA-Fourier (p = 0,09 et 0,25) ; autocorrélation résiduelle maximale de 0,035, négligeable.</w:t>
      </w:r>
    </w:p>
    <w:p>
      <w:pPr>
        <w:pStyle w:val="Compact"/>
        <w:numPr>
          <w:ilvl w:val="0"/>
          <w:numId w:val="1008"/>
        </w:numPr>
      </w:pPr>
      <w:r>
        <w:rPr>
          <w:b/>
          <w:bCs/>
        </w:rPr>
        <w:t xml:space="preserve">Normalité (test de Jarque-Bera) :</w:t>
      </w:r>
      <w:r>
        <w:t xml:space="preserve"> </w:t>
      </w:r>
      <w:r>
        <w:t xml:space="preserve">rejetée (p &lt; 0,001) ; asymétrie -0,94, kurtosis 3,71. Les mauvaises surprises sont plus fortes que les bonnes, la production étant bornée par le ciel clair.</w:t>
      </w:r>
    </w:p>
    <w:p>
      <w:pPr>
        <w:pStyle w:val="Compact"/>
        <w:numPr>
          <w:ilvl w:val="0"/>
          <w:numId w:val="1008"/>
        </w:numPr>
      </w:pPr>
      <w:r>
        <w:rPr>
          <w:b/>
          <w:bCs/>
        </w:rPr>
        <w:t xml:space="preserve">Homoscédasticité :</w:t>
      </w:r>
      <w:r>
        <w:t xml:space="preserve"> </w:t>
      </w:r>
      <w:r>
        <w:t xml:space="preserve">massivement rejetée (ARCH-LM = 235) ; écart-type des résidus de 1,21 en hiver contre 0,64 en été. La moyenne est bien spécifiée, pas la variance.</w:t>
      </w:r>
    </w:p>
    <w:p>
      <w:pPr>
        <w:pStyle w:val="FirstParagraph"/>
      </w:pPr>
      <w:r>
        <w:rPr>
          <w:b/>
          <w:bCs/>
        </w:rPr>
        <w:t xml:space="preserve">SARIMA mensuel (s = 12).</w:t>
      </w:r>
      <w:r>
        <w:t xml:space="preserve"> </w:t>
      </w:r>
      <w:r>
        <w:t xml:space="preserve">OCSB et Canova-Hansen ne demandent pas de différence saisonnière, mais l’ACF de la différence saisonnière présente un pic négatif au retard 12 (-0,51) ; le BIC retient SARIMA(0,0,0)(0,1,1)[12] avec un coefficient saisonnier de -0,889, proche de -1 : la différence est presque annulée, ce qui rejoint les tests (saisonnalité déterministe). Les résidus sont blancs, gaussiens et homoscédastiques : à la maille mensuelle, les aléas journaliers se compensent. À 6 mois (18 origines), le SARIMA (RMSE de 12,4 kWh/kWc par mois) fait jeu égal avec la moyenne mensuelle (12,3) et bat le naïf saisonnier (17,7).</w:t>
      </w:r>
    </w:p>
    <w:bookmarkEnd w:id="55"/>
    <w:bookmarkStart w:id="62" w:name="X70dee4c8bc7deb72f7c4e4959dca1d475fbd753"/>
    <w:p>
      <w:pPr>
        <w:pStyle w:val="Heading2"/>
      </w:pPr>
      <w:r>
        <w:t xml:space="preserve">4.2 VAR, causalité de Granger et cointégration</w:t>
      </w:r>
    </w:p>
    <w:p>
      <w:pPr>
        <w:pStyle w:val="FirstParagraph"/>
      </w:pPr>
      <w:r>
        <w:rPr>
          <w:b/>
          <w:bCs/>
        </w:rPr>
        <w:t xml:space="preserve">VAR(3)</w:t>
      </w:r>
      <w:r>
        <w:t xml:space="preserve"> </w:t>
      </w:r>
      <w:r>
        <w:t xml:space="preserve">sur (production, nébulosité, température), termes de Fourier en exogènes ; AIC et BIC choisissent 3 retards. Le Portmanteau multivarié rejette de peu (p = 0,018) mais chaque équation passe le test de Ljung-Box ; le VAR est stable.</w:t>
      </w:r>
    </w:p>
    <w:p>
      <w:pPr>
        <w:pStyle w:val="TableCaption"/>
      </w:pPr>
      <w:r>
        <w:t xml:space="preserve">Causalité de Granger dans le VAR(3) de Tunis.</w:t>
      </w:r>
    </w:p>
    <w:tbl>
      <w:tblPr>
        <w:tblStyle w:val="Table"/>
        <w:tblW w:type="auto" w:w="0"/>
        <w:tblLook w:firstRow="1" w:lastRow="0" w:firstColumn="0" w:lastColumn="0" w:noHBand="0" w:noVBand="0" w:val="0020"/>
        <w:tblCaption w:val="Causalité de Granger dans le VAR(3) de Tunis."/>
      </w:tblPr>
      <w:tblGrid>
        <w:gridCol w:w="1980"/>
        <w:gridCol w:w="1980"/>
        <w:gridCol w:w="1980"/>
        <w:gridCol w:w="1980"/>
      </w:tblGrid>
      <w:tr>
        <w:trPr>
          <w:tblHeader w:val="on"/>
        </w:trPr>
        <w:tc>
          <w:tcPr/>
          <w:p>
            <w:pPr>
              <w:pStyle w:val="Compact"/>
            </w:pPr>
            <w:r>
              <w:t xml:space="preserve">Cause</w:t>
            </w:r>
          </w:p>
        </w:tc>
        <w:tc>
          <w:tcPr/>
          <w:p>
            <w:pPr>
              <w:pStyle w:val="Compact"/>
            </w:pPr>
            <w:r>
              <w:t xml:space="preserve">Effet</w:t>
            </w:r>
          </w:p>
        </w:tc>
        <w:tc>
          <w:tcPr/>
          <w:p>
            <w:pPr>
              <w:pStyle w:val="Compact"/>
            </w:pPr>
            <w:r>
              <w:t xml:space="preserve">F</w:t>
            </w:r>
          </w:p>
        </w:tc>
        <w:tc>
          <w:tcPr/>
          <w:p>
            <w:pPr>
              <w:pStyle w:val="Compact"/>
            </w:pPr>
            <w:r>
              <w:t xml:space="preserve">p</w:t>
            </w:r>
          </w:p>
        </w:tc>
      </w:tr>
      <w:tr>
        <w:tc>
          <w:tcPr/>
          <w:p>
            <w:pPr>
              <w:pStyle w:val="Compact"/>
            </w:pPr>
            <w:r>
              <w:t xml:space="preserve">production</w:t>
            </w:r>
          </w:p>
        </w:tc>
        <w:tc>
          <w:tcPr/>
          <w:p>
            <w:pPr>
              <w:pStyle w:val="Compact"/>
            </w:pPr>
            <w:r>
              <w:t xml:space="preserve">nébulosité</w:t>
            </w:r>
          </w:p>
        </w:tc>
        <w:tc>
          <w:tcPr/>
          <w:p>
            <w:pPr>
              <w:pStyle w:val="Compact"/>
            </w:pPr>
            <w:r>
              <w:t xml:space="preserve">14,3</w:t>
            </w:r>
          </w:p>
        </w:tc>
        <w:tc>
          <w:tcPr/>
          <w:p>
            <w:pPr>
              <w:pStyle w:val="Compact"/>
            </w:pPr>
            <w:r>
              <w:t xml:space="preserve">&lt; 0,001</w:t>
            </w:r>
          </w:p>
        </w:tc>
      </w:tr>
      <w:tr>
        <w:tc>
          <w:tcPr/>
          <w:p>
            <w:pPr>
              <w:pStyle w:val="Compact"/>
            </w:pPr>
            <w:r>
              <w:t xml:space="preserve">production</w:t>
            </w:r>
          </w:p>
        </w:tc>
        <w:tc>
          <w:tcPr/>
          <w:p>
            <w:pPr>
              <w:pStyle w:val="Compact"/>
            </w:pPr>
            <w:r>
              <w:t xml:space="preserve">température</w:t>
            </w:r>
          </w:p>
        </w:tc>
        <w:tc>
          <w:tcPr/>
          <w:p>
            <w:pPr>
              <w:pStyle w:val="Compact"/>
            </w:pPr>
            <w:r>
              <w:t xml:space="preserve">19,3</w:t>
            </w:r>
          </w:p>
        </w:tc>
        <w:tc>
          <w:tcPr/>
          <w:p>
            <w:pPr>
              <w:pStyle w:val="Compact"/>
            </w:pPr>
            <w:r>
              <w:t xml:space="preserve">&lt; 0,001</w:t>
            </w:r>
          </w:p>
        </w:tc>
      </w:tr>
      <w:tr>
        <w:tc>
          <w:tcPr/>
          <w:p>
            <w:pPr>
              <w:pStyle w:val="Compact"/>
            </w:pPr>
            <w:r>
              <w:t xml:space="preserve">nébulosité</w:t>
            </w:r>
          </w:p>
        </w:tc>
        <w:tc>
          <w:tcPr/>
          <w:p>
            <w:pPr>
              <w:pStyle w:val="Compact"/>
            </w:pPr>
            <w:r>
              <w:t xml:space="preserve">production</w:t>
            </w:r>
          </w:p>
        </w:tc>
        <w:tc>
          <w:tcPr/>
          <w:p>
            <w:pPr>
              <w:pStyle w:val="Compact"/>
            </w:pPr>
            <w:r>
              <w:t xml:space="preserve">98,8</w:t>
            </w:r>
          </w:p>
        </w:tc>
        <w:tc>
          <w:tcPr/>
          <w:p>
            <w:pPr>
              <w:pStyle w:val="Compact"/>
            </w:pPr>
            <w:r>
              <w:t xml:space="preserve">&lt; 0,001</w:t>
            </w:r>
          </w:p>
        </w:tc>
      </w:tr>
      <w:tr>
        <w:tc>
          <w:tcPr/>
          <w:p>
            <w:pPr>
              <w:pStyle w:val="Compact"/>
            </w:pPr>
            <w:r>
              <w:t xml:space="preserve">nébulosité</w:t>
            </w:r>
          </w:p>
        </w:tc>
        <w:tc>
          <w:tcPr/>
          <w:p>
            <w:pPr>
              <w:pStyle w:val="Compact"/>
            </w:pPr>
            <w:r>
              <w:t xml:space="preserve">température</w:t>
            </w:r>
          </w:p>
        </w:tc>
        <w:tc>
          <w:tcPr/>
          <w:p>
            <w:pPr>
              <w:pStyle w:val="Compact"/>
            </w:pPr>
            <w:r>
              <w:t xml:space="preserve">6,5</w:t>
            </w:r>
          </w:p>
        </w:tc>
        <w:tc>
          <w:tcPr/>
          <w:p>
            <w:pPr>
              <w:pStyle w:val="Compact"/>
            </w:pPr>
            <w:r>
              <w:t xml:space="preserve">&lt; 0,001</w:t>
            </w:r>
          </w:p>
        </w:tc>
      </w:tr>
      <w:tr>
        <w:tc>
          <w:tcPr/>
          <w:p>
            <w:pPr>
              <w:pStyle w:val="Compact"/>
            </w:pPr>
            <w:r>
              <w:t xml:space="preserve">température</w:t>
            </w:r>
          </w:p>
        </w:tc>
        <w:tc>
          <w:tcPr/>
          <w:p>
            <w:pPr>
              <w:pStyle w:val="Compact"/>
            </w:pPr>
            <w:r>
              <w:t xml:space="preserve">production</w:t>
            </w:r>
          </w:p>
        </w:tc>
        <w:tc>
          <w:tcPr/>
          <w:p>
            <w:pPr>
              <w:pStyle w:val="Compact"/>
            </w:pPr>
            <w:r>
              <w:t xml:space="preserve">2,9</w:t>
            </w:r>
          </w:p>
        </w:tc>
        <w:tc>
          <w:tcPr/>
          <w:p>
            <w:pPr>
              <w:pStyle w:val="Compact"/>
            </w:pPr>
            <w:r>
              <w:t xml:space="preserve">0,034</w:t>
            </w:r>
          </w:p>
        </w:tc>
      </w:tr>
      <w:tr>
        <w:tc>
          <w:tcPr/>
          <w:p>
            <w:pPr>
              <w:pStyle w:val="Compact"/>
            </w:pPr>
            <w:r>
              <w:t xml:space="preserve">température</w:t>
            </w:r>
          </w:p>
        </w:tc>
        <w:tc>
          <w:tcPr/>
          <w:p>
            <w:pPr>
              <w:pStyle w:val="Compact"/>
            </w:pPr>
            <w:r>
              <w:t xml:space="preserve">nébulosité</w:t>
            </w:r>
          </w:p>
        </w:tc>
        <w:tc>
          <w:tcPr/>
          <w:p>
            <w:pPr>
              <w:pStyle w:val="Compact"/>
            </w:pPr>
            <w:r>
              <w:t xml:space="preserve">4,4</w:t>
            </w:r>
          </w:p>
        </w:tc>
        <w:tc>
          <w:tcPr/>
          <w:p>
            <w:pPr>
              <w:pStyle w:val="Compact"/>
            </w:pPr>
            <w:r>
              <w:t xml:space="preserve">0,004</w:t>
            </w:r>
          </w:p>
        </w:tc>
      </w:tr>
    </w:tbl>
    <w:p>
      <w:pPr>
        <w:pStyle w:val="Compact"/>
        <w:numPr>
          <w:ilvl w:val="0"/>
          <w:numId w:val="1009"/>
        </w:numPr>
      </w:pPr>
      <w:r>
        <w:rPr>
          <w:b/>
          <w:bCs/>
        </w:rPr>
        <w:t xml:space="preserve">Nébulosité et production se prévoient mutuellement</w:t>
      </w:r>
      <w:r>
        <w:t xml:space="preserve"> </w:t>
      </w:r>
      <w:r>
        <w:t xml:space="preserve">: elles mesurent le même état du ciel. La production de la veille prévoit la température (une journée claire réchauffe le sol et l’air). La causalité de Granger mesure la prévisibilité, pas la causalité physique.</w:t>
      </w:r>
    </w:p>
    <w:p>
      <w:pPr>
        <w:pStyle w:val="Compact"/>
        <w:numPr>
          <w:ilvl w:val="0"/>
          <w:numId w:val="1009"/>
        </w:numPr>
      </w:pPr>
      <w:r>
        <w:rPr>
          <w:b/>
          <w:bCs/>
        </w:rPr>
        <w:t xml:space="preserve">Réponse impulsionnelle</w:t>
      </w:r>
      <w:r>
        <w:t xml:space="preserve"> </w:t>
      </w:r>
      <w:r>
        <w:t xml:space="preserve">(nébulosité placée en premier) : un choc d’un écart-type de nébulosité réduit la production de 0,66 kWh/kWc le jour même, de 0,35 le lendemain, et l’effet disparaît en 4 jours ; il explique 44,5 % de la variance d’erreur à 7 jours.</w:t>
      </w:r>
    </w:p>
    <w:p>
      <w:pPr>
        <w:pStyle w:val="Compact"/>
        <w:numPr>
          <w:ilvl w:val="0"/>
          <w:numId w:val="1009"/>
        </w:numPr>
      </w:pPr>
      <w:r>
        <w:rPr>
          <w:b/>
          <w:bCs/>
        </w:rPr>
        <w:t xml:space="preserve">Autres pays :</w:t>
      </w:r>
      <w:r>
        <w:t xml:space="preserve"> </w:t>
      </w:r>
      <w:r>
        <w:t xml:space="preserve">le même jour, aucune corrélation avec Séville, Madrid, Barcelone ou Marseille ; mais l’anomalie de la veille à Barcelone (r = 0,12) ou à Marseille aide à prévoir Tunis (F = 108,5 et 37,0), sans réciproque comparable, ce qui est cohérent avec des perturbations qui traversent la Méditerranée occidentale avant la Tunisie (hypothèse que le test ne prouve pas).</w:t>
      </w:r>
    </w:p>
    <w:p>
      <w:pPr>
        <w:pStyle w:val="CaptionedFigure"/>
      </w:pPr>
      <w:r>
        <w:drawing>
          <wp:inline>
            <wp:extent cx="3599999" cy="1518144"/>
            <wp:effectExtent b="0" l="0" r="0" t="0"/>
            <wp:docPr descr="Réponse de la production à un choc de nébulosité" title="" id="57" name="Picture"/>
            <a:graphic>
              <a:graphicData uri="http://schemas.openxmlformats.org/drawingml/2006/picture">
                <pic:pic>
                  <pic:nvPicPr>
                    <pic:cNvPr descr="../figures/11_var_irf.png" id="58" name="Picture"/>
                    <pic:cNvPicPr>
                      <a:picLocks noChangeArrowheads="1" noChangeAspect="1"/>
                    </pic:cNvPicPr>
                  </pic:nvPicPr>
                  <pic:blipFill>
                    <a:blip r:embed="rId56"/>
                    <a:stretch>
                      <a:fillRect/>
                    </a:stretch>
                  </pic:blipFill>
                  <pic:spPr bwMode="auto">
                    <a:xfrm>
                      <a:off x="0" y="0"/>
                      <a:ext cx="3599999" cy="1518144"/>
                    </a:xfrm>
                    <a:prstGeom prst="rect">
                      <a:avLst/>
                    </a:prstGeom>
                    <a:noFill/>
                    <a:ln w="9525">
                      <a:noFill/>
                      <a:headEnd/>
                      <a:tailEnd/>
                    </a:ln>
                  </pic:spPr>
                </pic:pic>
              </a:graphicData>
            </a:graphic>
          </wp:inline>
        </w:drawing>
      </w:r>
    </w:p>
    <w:p>
      <w:pPr>
        <w:pStyle w:val="ImageCaption"/>
      </w:pPr>
      <w:r>
        <w:t xml:space="preserve">Réponse de la production à un choc de nébulosité</w:t>
      </w:r>
    </w:p>
    <w:p>
      <w:pPr>
        <w:pStyle w:val="BodyText"/>
      </w:pPr>
      <w:r>
        <w:rPr>
          <w:b/>
          <w:bCs/>
        </w:rPr>
        <w:t xml:space="preserve">Cointégration.</w:t>
      </w:r>
      <w:r>
        <w:t xml:space="preserve"> </w:t>
      </w:r>
      <w:r>
        <w:t xml:space="preserve">Pour Tunis, le test de Johansen trouve un</w:t>
      </w:r>
      <w:r>
        <w:t xml:space="preserve"> </w:t>
      </w:r>
      <w:r>
        <w:rPr>
          <w:b/>
          <w:bCs/>
        </w:rPr>
        <w:t xml:space="preserve">rang plein</w:t>
      </w:r>
      <w:r>
        <w:t xml:space="preserve"> </w:t>
      </w:r>
      <w:r>
        <w:t xml:space="preserve">(trace de 2 129, 993 et 62 pour des seuils de 29,8 ; 15,5 et 3,8) : le système est stationnaire en niveaux, la cointégration ne s’applique pas (l’Engle-Granger « significatif » est trompeur). Le cas a donc été posé là où il a un sens : les productions solaires nationales mesurées, qui croissent avec le parc. Sur 2014-2026, le log de chacune est I(1) ; Engle-Granger (p = 0,38) et la trace de Johansen (15,1 contre 18,4 pour « rang = 0 ») concluent à</w:t>
      </w:r>
      <w:r>
        <w:t xml:space="preserve"> </w:t>
      </w:r>
      <w:r>
        <w:rPr>
          <w:b/>
          <w:bCs/>
        </w:rPr>
        <w:t xml:space="preserve">l’absence de cointégration</w:t>
      </w:r>
      <w:r>
        <w:t xml:space="preserve">, en Python comme en R. Le VECM de vérification (rang imposé à 1) donne des coefficients d’ajustement de -0,0007 et -0,0008, sans force de rappel : la production espagnole a été multipliée par 6,7 entre 2018 et 2025, la française par 3,1. Aucun VECM n’est retenu.</w:t>
      </w:r>
    </w:p>
    <w:p>
      <w:pPr>
        <w:pStyle w:val="CaptionedFigure"/>
      </w:pPr>
      <w:r>
        <w:drawing>
          <wp:inline>
            <wp:extent cx="5039999" cy="1524508"/>
            <wp:effectExtent b="0" l="0" r="0" t="0"/>
            <wp:docPr descr="Production solaire nationale mesurée et écart à la relation de long terme" title="" id="60" name="Picture"/>
            <a:graphic>
              <a:graphicData uri="http://schemas.openxmlformats.org/drawingml/2006/picture">
                <pic:pic>
                  <pic:nvPicPr>
                    <pic:cNvPr descr="../figures/12_cointegration_national.png" id="61" name="Picture"/>
                    <pic:cNvPicPr>
                      <a:picLocks noChangeArrowheads="1" noChangeAspect="1"/>
                    </pic:cNvPicPr>
                  </pic:nvPicPr>
                  <pic:blipFill>
                    <a:blip r:embed="rId59"/>
                    <a:stretch>
                      <a:fillRect/>
                    </a:stretch>
                  </pic:blipFill>
                  <pic:spPr bwMode="auto">
                    <a:xfrm>
                      <a:off x="0" y="0"/>
                      <a:ext cx="5039999" cy="1524508"/>
                    </a:xfrm>
                    <a:prstGeom prst="rect">
                      <a:avLst/>
                    </a:prstGeom>
                    <a:noFill/>
                    <a:ln w="9525">
                      <a:noFill/>
                      <a:headEnd/>
                      <a:tailEnd/>
                    </a:ln>
                  </pic:spPr>
                </pic:pic>
              </a:graphicData>
            </a:graphic>
          </wp:inline>
        </w:drawing>
      </w:r>
    </w:p>
    <w:p>
      <w:pPr>
        <w:pStyle w:val="ImageCaption"/>
      </w:pPr>
      <w:r>
        <w:t xml:space="preserve">Production solaire nationale mesurée et écart à la relation de long terme</w:t>
      </w:r>
    </w:p>
    <w:bookmarkEnd w:id="62"/>
    <w:bookmarkStart w:id="66" w:name="volatilité-conditionnelle-arch-et-garch"/>
    <w:p>
      <w:pPr>
        <w:pStyle w:val="Heading2"/>
      </w:pPr>
      <w:r>
        <w:t xml:space="preserve">4.3 Volatilité conditionnelle : ARCH et GARCH</w:t>
      </w:r>
    </w:p>
    <w:p>
      <w:pPr>
        <w:pStyle w:val="TableCaption"/>
      </w:pPr>
      <w:r>
        <w:t xml:space="preserve">Modèles de volatilité des erreurs à un jour de l’ARIMA-Fourier (z : résidus standardisés).</w:t>
      </w:r>
    </w:p>
    <w:tbl>
      <w:tblPr>
        <w:tblStyle w:val="Table"/>
        <w:tblW w:type="pct" w:w="5000"/>
        <w:tblLayout w:type="fixed"/>
        <w:tblLook w:firstRow="1" w:lastRow="0" w:firstColumn="0" w:lastColumn="0" w:noHBand="0" w:noVBand="0" w:val="0020"/>
        <w:tblCaption w:val="Modèles de volatilité des erreurs à un jour de l’ARIMA-Fourier (z : résidus standardisés)."/>
      </w:tblPr>
      <w:tblGrid>
        <w:gridCol w:w="1131"/>
        <w:gridCol w:w="1131"/>
        <w:gridCol w:w="1131"/>
        <w:gridCol w:w="1131"/>
        <w:gridCol w:w="1131"/>
        <w:gridCol w:w="1131"/>
        <w:gridCol w:w="1131"/>
      </w:tblGrid>
      <w:tr>
        <w:trPr>
          <w:tblHeader w:val="on"/>
        </w:trPr>
        <w:tc>
          <w:tcPr/>
          <w:p>
            <w:pPr>
              <w:pStyle w:val="Compact"/>
            </w:pPr>
            <w:r>
              <w:t xml:space="preserve">Modèle</w:t>
            </w:r>
          </w:p>
        </w:tc>
        <w:tc>
          <w:tcPr/>
          <w:p>
            <w:pPr>
              <w:pStyle w:val="Compact"/>
            </w:pPr>
            <w:r>
              <w:t xml:space="preserve">AIC</w:t>
            </w:r>
          </w:p>
        </w:tc>
        <w:tc>
          <w:tcPr/>
          <w:p>
            <w:pPr>
              <w:pStyle w:val="Compact"/>
            </w:pPr>
            <w:r>
              <w:t xml:space="preserve">BIC</w:t>
            </w:r>
          </w:p>
        </w:tc>
        <w:tc>
          <w:tcPr/>
          <w:p>
            <w:pPr>
              <w:pStyle w:val="Compact"/>
            </w:pPr>
            <w:r>
              <w:t xml:space="preserve">Paramètres</w:t>
            </w:r>
          </w:p>
        </w:tc>
        <w:tc>
          <w:tcPr/>
          <w:p>
            <w:pPr>
              <w:pStyle w:val="Compact"/>
            </w:pPr>
            <w:r>
              <w:t xml:space="preserve">p LB(10) sur z²</w:t>
            </w:r>
          </w:p>
        </w:tc>
        <w:tc>
          <w:tcPr/>
          <w:p>
            <w:pPr>
              <w:pStyle w:val="Compact"/>
            </w:pPr>
            <w:r>
              <w:t xml:space="preserve">p ARCH-LM(7) sur z</w:t>
            </w:r>
          </w:p>
        </w:tc>
        <w:tc>
          <w:tcPr/>
          <w:p>
            <w:pPr>
              <w:pStyle w:val="Compact"/>
            </w:pPr>
            <w:r>
              <w:t xml:space="preserve">Kurtosis de z</w:t>
            </w:r>
          </w:p>
        </w:tc>
      </w:tr>
      <w:tr>
        <w:tc>
          <w:tcPr/>
          <w:p>
            <w:pPr>
              <w:pStyle w:val="Compact"/>
            </w:pPr>
            <w:r>
              <w:t xml:space="preserve">ARCH(1) normale</w:t>
            </w:r>
          </w:p>
        </w:tc>
        <w:tc>
          <w:tcPr/>
          <w:p>
            <w:pPr>
              <w:pStyle w:val="Compact"/>
            </w:pPr>
            <w:r>
              <w:t xml:space="preserve">18 759</w:t>
            </w:r>
          </w:p>
        </w:tc>
        <w:tc>
          <w:tcPr/>
          <w:p>
            <w:pPr>
              <w:pStyle w:val="Compact"/>
            </w:pPr>
            <w:r>
              <w:t xml:space="preserve">18 773</w:t>
            </w:r>
          </w:p>
        </w:tc>
        <w:tc>
          <w:tcPr/>
          <w:p>
            <w:pPr>
              <w:pStyle w:val="Compact"/>
            </w:pPr>
            <w:r>
              <w:t xml:space="preserve">2</w:t>
            </w:r>
          </w:p>
        </w:tc>
        <w:tc>
          <w:tcPr/>
          <w:p>
            <w:pPr>
              <w:pStyle w:val="Compact"/>
            </w:pPr>
            <w:r>
              <w:t xml:space="preserve">0,000</w:t>
            </w:r>
          </w:p>
        </w:tc>
        <w:tc>
          <w:tcPr/>
          <w:p>
            <w:pPr>
              <w:pStyle w:val="Compact"/>
            </w:pPr>
            <w:r>
              <w:t xml:space="preserve">0,000</w:t>
            </w:r>
          </w:p>
        </w:tc>
        <w:tc>
          <w:tcPr/>
          <w:p>
            <w:pPr>
              <w:pStyle w:val="Compact"/>
            </w:pPr>
            <w:r>
              <w:t xml:space="preserve">3,9</w:t>
            </w:r>
          </w:p>
        </w:tc>
      </w:tr>
      <w:tr>
        <w:tc>
          <w:tcPr/>
          <w:p>
            <w:pPr>
              <w:pStyle w:val="Compact"/>
            </w:pPr>
            <w:r>
              <w:t xml:space="preserve">GARCH(1,1) normale</w:t>
            </w:r>
          </w:p>
        </w:tc>
        <w:tc>
          <w:tcPr/>
          <w:p>
            <w:pPr>
              <w:pStyle w:val="Compact"/>
            </w:pPr>
            <w:r>
              <w:t xml:space="preserve">18 176</w:t>
            </w:r>
          </w:p>
        </w:tc>
        <w:tc>
          <w:tcPr/>
          <w:p>
            <w:pPr>
              <w:pStyle w:val="Compact"/>
            </w:pPr>
            <w:r>
              <w:t xml:space="preserve">18 196</w:t>
            </w:r>
          </w:p>
        </w:tc>
        <w:tc>
          <w:tcPr/>
          <w:p>
            <w:pPr>
              <w:pStyle w:val="Compact"/>
            </w:pPr>
            <w:r>
              <w:t xml:space="preserve">3</w:t>
            </w:r>
          </w:p>
        </w:tc>
        <w:tc>
          <w:tcPr/>
          <w:p>
            <w:pPr>
              <w:pStyle w:val="Compact"/>
            </w:pPr>
            <w:r>
              <w:t xml:space="preserve">0,070</w:t>
            </w:r>
          </w:p>
        </w:tc>
        <w:tc>
          <w:tcPr/>
          <w:p>
            <w:pPr>
              <w:pStyle w:val="Compact"/>
            </w:pPr>
            <w:r>
              <w:t xml:space="preserve">0,032</w:t>
            </w:r>
          </w:p>
        </w:tc>
        <w:tc>
          <w:tcPr/>
          <w:p>
            <w:pPr>
              <w:pStyle w:val="Compact"/>
            </w:pPr>
            <w:r>
              <w:t xml:space="preserve">5,0</w:t>
            </w:r>
          </w:p>
        </w:tc>
      </w:tr>
      <w:tr>
        <w:tc>
          <w:tcPr/>
          <w:p>
            <w:pPr>
              <w:pStyle w:val="Compact"/>
            </w:pPr>
            <w:r>
              <w:t xml:space="preserve">GARCH(1,1) Student</w:t>
            </w:r>
          </w:p>
        </w:tc>
        <w:tc>
          <w:tcPr/>
          <w:p>
            <w:pPr>
              <w:pStyle w:val="Compact"/>
            </w:pPr>
            <w:r>
              <w:t xml:space="preserve">17 852</w:t>
            </w:r>
          </w:p>
        </w:tc>
        <w:tc>
          <w:tcPr/>
          <w:p>
            <w:pPr>
              <w:pStyle w:val="Compact"/>
            </w:pPr>
            <w:r>
              <w:t xml:space="preserve">17 879</w:t>
            </w:r>
          </w:p>
        </w:tc>
        <w:tc>
          <w:tcPr/>
          <w:p>
            <w:pPr>
              <w:pStyle w:val="Compact"/>
            </w:pPr>
            <w:r>
              <w:t xml:space="preserve">4</w:t>
            </w:r>
          </w:p>
        </w:tc>
        <w:tc>
          <w:tcPr/>
          <w:p>
            <w:pPr>
              <w:pStyle w:val="Compact"/>
            </w:pPr>
            <w:r>
              <w:t xml:space="preserve">0,019</w:t>
            </w:r>
          </w:p>
        </w:tc>
        <w:tc>
          <w:tcPr/>
          <w:p>
            <w:pPr>
              <w:pStyle w:val="Compact"/>
            </w:pPr>
            <w:r>
              <w:t xml:space="preserve">0,012</w:t>
            </w:r>
          </w:p>
        </w:tc>
        <w:tc>
          <w:tcPr/>
          <w:p>
            <w:pPr>
              <w:pStyle w:val="Compact"/>
            </w:pPr>
            <w:r>
              <w:t xml:space="preserve">6,2</w:t>
            </w:r>
          </w:p>
        </w:tc>
      </w:tr>
      <w:tr>
        <w:tc>
          <w:tcPr/>
          <w:p>
            <w:pPr>
              <w:pStyle w:val="Compact"/>
            </w:pPr>
            <w:r>
              <w:t xml:space="preserve">GARCH(1,1) Student asym.</w:t>
            </w:r>
          </w:p>
        </w:tc>
        <w:tc>
          <w:tcPr/>
          <w:p>
            <w:pPr>
              <w:pStyle w:val="Compact"/>
            </w:pPr>
            <w:r>
              <w:t xml:space="preserve">16 435</w:t>
            </w:r>
          </w:p>
        </w:tc>
        <w:tc>
          <w:tcPr/>
          <w:p>
            <w:pPr>
              <w:pStyle w:val="Compact"/>
            </w:pPr>
            <w:r>
              <w:t xml:space="preserve">16 469</w:t>
            </w:r>
          </w:p>
        </w:tc>
        <w:tc>
          <w:tcPr/>
          <w:p>
            <w:pPr>
              <w:pStyle w:val="Compact"/>
            </w:pPr>
            <w:r>
              <w:t xml:space="preserve">5</w:t>
            </w:r>
          </w:p>
        </w:tc>
        <w:tc>
          <w:tcPr/>
          <w:p>
            <w:pPr>
              <w:pStyle w:val="Compact"/>
            </w:pPr>
            <w:r>
              <w:t xml:space="preserve">0,011</w:t>
            </w:r>
          </w:p>
        </w:tc>
        <w:tc>
          <w:tcPr/>
          <w:p>
            <w:pPr>
              <w:pStyle w:val="Compact"/>
            </w:pPr>
            <w:r>
              <w:t xml:space="preserve">0,007</w:t>
            </w:r>
          </w:p>
        </w:tc>
        <w:tc>
          <w:tcPr/>
          <w:p>
            <w:pPr>
              <w:pStyle w:val="Compact"/>
            </w:pPr>
            <w:r>
              <w:t xml:space="preserve">6,4</w:t>
            </w:r>
          </w:p>
        </w:tc>
      </w:tr>
      <w:tr>
        <w:tc>
          <w:tcPr/>
          <w:p>
            <w:pPr>
              <w:pStyle w:val="Compact"/>
            </w:pPr>
            <w:r>
              <w:t xml:space="preserve">GARCH(2,1) Student asym.</w:t>
            </w:r>
          </w:p>
        </w:tc>
        <w:tc>
          <w:tcPr/>
          <w:p>
            <w:pPr>
              <w:pStyle w:val="Compact"/>
            </w:pPr>
            <w:r>
              <w:t xml:space="preserve">16 437</w:t>
            </w:r>
          </w:p>
        </w:tc>
        <w:tc>
          <w:tcPr/>
          <w:p>
            <w:pPr>
              <w:pStyle w:val="Compact"/>
            </w:pPr>
            <w:r>
              <w:t xml:space="preserve">16 478</w:t>
            </w:r>
          </w:p>
        </w:tc>
        <w:tc>
          <w:tcPr/>
          <w:p>
            <w:pPr>
              <w:pStyle w:val="Compact"/>
            </w:pPr>
            <w:r>
              <w:t xml:space="preserve">6</w:t>
            </w:r>
          </w:p>
        </w:tc>
        <w:tc>
          <w:tcPr/>
          <w:p>
            <w:pPr>
              <w:pStyle w:val="Compact"/>
            </w:pPr>
            <w:r>
              <w:t xml:space="preserve">0,011</w:t>
            </w:r>
          </w:p>
        </w:tc>
        <w:tc>
          <w:tcPr/>
          <w:p>
            <w:pPr>
              <w:pStyle w:val="Compact"/>
            </w:pPr>
            <w:r>
              <w:t xml:space="preserve">0,007</w:t>
            </w:r>
          </w:p>
        </w:tc>
        <w:tc>
          <w:tcPr/>
          <w:p>
            <w:pPr>
              <w:pStyle w:val="Compact"/>
            </w:pPr>
            <w:r>
              <w:t xml:space="preserve">6,4</w:t>
            </w:r>
          </w:p>
        </w:tc>
      </w:tr>
      <w:tr>
        <w:tc>
          <w:tcPr/>
          <w:p>
            <w:pPr>
              <w:pStyle w:val="Compact"/>
            </w:pPr>
            <w:r>
              <w:t xml:space="preserve">GJR-GARCH(1,1) Student asym.</w:t>
            </w:r>
          </w:p>
        </w:tc>
        <w:tc>
          <w:tcPr/>
          <w:p>
            <w:pPr>
              <w:pStyle w:val="Compact"/>
            </w:pPr>
            <w:r>
              <w:t xml:space="preserve">16 399</w:t>
            </w:r>
          </w:p>
        </w:tc>
        <w:tc>
          <w:tcPr/>
          <w:p>
            <w:pPr>
              <w:pStyle w:val="Compact"/>
            </w:pPr>
            <w:r>
              <w:t xml:space="preserve">16 440</w:t>
            </w:r>
          </w:p>
        </w:tc>
        <w:tc>
          <w:tcPr/>
          <w:p>
            <w:pPr>
              <w:pStyle w:val="Compact"/>
            </w:pPr>
            <w:r>
              <w:t xml:space="preserve">6</w:t>
            </w:r>
          </w:p>
        </w:tc>
        <w:tc>
          <w:tcPr/>
          <w:p>
            <w:pPr>
              <w:pStyle w:val="Compact"/>
            </w:pPr>
            <w:r>
              <w:t xml:space="preserve">0,019</w:t>
            </w:r>
          </w:p>
        </w:tc>
        <w:tc>
          <w:tcPr/>
          <w:p>
            <w:pPr>
              <w:pStyle w:val="Compact"/>
            </w:pPr>
            <w:r>
              <w:t xml:space="preserve">0,012</w:t>
            </w:r>
          </w:p>
        </w:tc>
        <w:tc>
          <w:tcPr/>
          <w:p>
            <w:pPr>
              <w:pStyle w:val="Compact"/>
            </w:pPr>
            <w:r>
              <w:t xml:space="preserve">6,1</w:t>
            </w:r>
          </w:p>
        </w:tc>
      </w:tr>
      <w:tr>
        <w:tc>
          <w:tcPr/>
          <w:p>
            <w:pPr>
              <w:pStyle w:val="Compact"/>
            </w:pPr>
            <w:r>
              <w:t xml:space="preserve">EGARCH(1,1) Student asym.</w:t>
            </w:r>
          </w:p>
        </w:tc>
        <w:tc>
          <w:tcPr/>
          <w:p>
            <w:pPr>
              <w:pStyle w:val="Compact"/>
            </w:pPr>
            <w:r>
              <w:t xml:space="preserve">16 299</w:t>
            </w:r>
          </w:p>
        </w:tc>
        <w:tc>
          <w:tcPr/>
          <w:p>
            <w:pPr>
              <w:pStyle w:val="Compact"/>
            </w:pPr>
            <w:r>
              <w:t xml:space="preserve">16 340</w:t>
            </w:r>
          </w:p>
        </w:tc>
        <w:tc>
          <w:tcPr/>
          <w:p>
            <w:pPr>
              <w:pStyle w:val="Compact"/>
            </w:pPr>
            <w:r>
              <w:t xml:space="preserve">6</w:t>
            </w:r>
          </w:p>
        </w:tc>
        <w:tc>
          <w:tcPr/>
          <w:p>
            <w:pPr>
              <w:pStyle w:val="Compact"/>
            </w:pPr>
            <w:r>
              <w:t xml:space="preserve">0,042</w:t>
            </w:r>
          </w:p>
        </w:tc>
        <w:tc>
          <w:tcPr/>
          <w:p>
            <w:pPr>
              <w:pStyle w:val="Compact"/>
            </w:pPr>
            <w:r>
              <w:t xml:space="preserve">0,027</w:t>
            </w:r>
          </w:p>
        </w:tc>
        <w:tc>
          <w:tcPr/>
          <w:p>
            <w:pPr>
              <w:pStyle w:val="Compact"/>
            </w:pPr>
            <w:r>
              <w:t xml:space="preserve">6,4</w:t>
            </w:r>
          </w:p>
        </w:tc>
      </w:tr>
      <w:tr>
        <w:tc>
          <w:tcPr/>
          <w:p>
            <w:pPr>
              <w:pStyle w:val="Compact"/>
            </w:pPr>
            <w:r>
              <w:t xml:space="preserve">Variance saisonnière + GARCH(1,1) Student asym.</w:t>
            </w:r>
          </w:p>
        </w:tc>
        <w:tc>
          <w:tcPr/>
          <w:p>
            <w:pPr>
              <w:pStyle w:val="Compact"/>
            </w:pPr>
            <w:r>
              <w:t xml:space="preserve">15 564</w:t>
            </w:r>
          </w:p>
        </w:tc>
        <w:tc>
          <w:tcPr/>
          <w:p>
            <w:pPr>
              <w:pStyle w:val="Compact"/>
            </w:pPr>
            <w:r>
              <w:t xml:space="preserve">15 632</w:t>
            </w:r>
          </w:p>
        </w:tc>
        <w:tc>
          <w:tcPr/>
          <w:p>
            <w:pPr>
              <w:pStyle w:val="Compact"/>
            </w:pPr>
            <w:r>
              <w:t xml:space="preserve">10</w:t>
            </w:r>
          </w:p>
        </w:tc>
        <w:tc>
          <w:tcPr/>
          <w:p>
            <w:pPr>
              <w:pStyle w:val="Compact"/>
            </w:pPr>
            <w:r>
              <w:t xml:space="preserve">0,124</w:t>
            </w:r>
          </w:p>
        </w:tc>
        <w:tc>
          <w:tcPr/>
          <w:p>
            <w:pPr>
              <w:pStyle w:val="Compact"/>
            </w:pPr>
            <w:r>
              <w:t xml:space="preserve">0,385</w:t>
            </w:r>
          </w:p>
        </w:tc>
        <w:tc>
          <w:tcPr/>
          <w:p>
            <w:pPr>
              <w:pStyle w:val="Compact"/>
            </w:pPr>
            <w:r>
              <w:t xml:space="preserve">7,7</w:t>
            </w:r>
          </w:p>
        </w:tc>
      </w:tr>
    </w:tbl>
    <w:p>
      <w:pPr>
        <w:pStyle w:val="Compact"/>
        <w:numPr>
          <w:ilvl w:val="0"/>
          <w:numId w:val="1010"/>
        </w:numPr>
      </w:pPr>
      <w:r>
        <w:rPr>
          <w:b/>
          <w:bCs/>
        </w:rPr>
        <w:t xml:space="preserve">Le GARCH(1,1) estime alpha + beta = 1,000</w:t>
      </w:r>
      <w:r>
        <w:t xml:space="preserve"> </w:t>
      </w:r>
      <w:r>
        <w:t xml:space="preserve">: un GARCH intégré, comme si chaque choc de volatilité durait indéfiniment. C’est un artefact : la variance suit les saisons, et le GARCH prend un changement déterministe pour des chocs persistants. Ses résidus standardisés échouent encore à l’ARCH-LM (p = 0,007), comme ceux des ordres voisins, du GJR et de l’EGARCH.</w:t>
      </w:r>
    </w:p>
    <w:p>
      <w:pPr>
        <w:pStyle w:val="Compact"/>
        <w:numPr>
          <w:ilvl w:val="0"/>
          <w:numId w:val="1010"/>
        </w:numPr>
      </w:pPr>
      <w:r>
        <w:rPr>
          <w:b/>
          <w:bCs/>
        </w:rPr>
        <w:t xml:space="preserve">Modèle retenu : variance saisonnière + GARCH(1,1) Student asymétrique.</w:t>
      </w:r>
      <w:r>
        <w:t xml:space="preserve"> </w:t>
      </w:r>
      <w:r>
        <w:t xml:space="preserve">La composante saisonnière de la variance est retirée (régression de log e² sur deux harmoniques), puis le reste suit un GARCH(1,1). Seul à passer le diagnostic (ARCH-LM p = 0,39), il a aussi le meilleur AIC et le meilleur BIC. Sa persistance tombe à 0,53 : hors saison, un choc de volatilité s’éteint en un à deux jours.</w:t>
      </w:r>
    </w:p>
    <w:p>
      <w:pPr>
        <w:pStyle w:val="Compact"/>
        <w:numPr>
          <w:ilvl w:val="0"/>
          <w:numId w:val="1010"/>
        </w:numPr>
      </w:pPr>
      <w:r>
        <w:rPr>
          <w:b/>
          <w:bCs/>
        </w:rPr>
        <w:t xml:space="preserve">Événements :</w:t>
      </w:r>
      <w:r>
        <w:t xml:space="preserve"> </w:t>
      </w:r>
      <w:r>
        <w:t xml:space="preserve">volatilité quatre fois plus forte en mars qu’en juillet ; les dix jours les plus volatils tombent en mars-avril, au lendemain d’une grosse erreur négative sous un ciel couvert ; 1,49 au lendemain d’une pluie d’au moins 5 mm contre 1,09 sinon.</w:t>
      </w:r>
    </w:p>
    <w:p>
      <w:pPr>
        <w:pStyle w:val="Compact"/>
        <w:numPr>
          <w:ilvl w:val="0"/>
          <w:numId w:val="1010"/>
        </w:numPr>
      </w:pPr>
      <w:r>
        <w:rPr>
          <w:b/>
          <w:bCs/>
        </w:rPr>
        <w:t xml:space="preserve">Utilité :</w:t>
      </w:r>
      <w:r>
        <w:t xml:space="preserve"> </w:t>
      </w:r>
      <w:r>
        <w:t xml:space="preserve">à variance constante, l’intervalle à 95 % à un jour couvre 92,9 % des jours de novembre à mars et 96,5 % d’avril à octobre. Le modèle retenu couvre 97,4 % et 96,7 %, avec un intervalle en moyenne plus étroit.</w:t>
      </w:r>
    </w:p>
    <w:p>
      <w:pPr>
        <w:pStyle w:val="CaptionedFigure"/>
      </w:pPr>
      <w:r>
        <w:drawing>
          <wp:inline>
            <wp:extent cx="5039999" cy="3347757"/>
            <wp:effectExtent b="0" l="0" r="0" t="0"/>
            <wp:docPr descr="Erreurs à un jour, volatilité conditionnelle et pluie" title="" id="64" name="Picture"/>
            <a:graphic>
              <a:graphicData uri="http://schemas.openxmlformats.org/drawingml/2006/picture">
                <pic:pic>
                  <pic:nvPicPr>
                    <pic:cNvPr descr="../figures/13_garch_volatilite.png" id="65" name="Picture"/>
                    <pic:cNvPicPr>
                      <a:picLocks noChangeArrowheads="1" noChangeAspect="1"/>
                    </pic:cNvPicPr>
                  </pic:nvPicPr>
                  <pic:blipFill>
                    <a:blip r:embed="rId63"/>
                    <a:stretch>
                      <a:fillRect/>
                    </a:stretch>
                  </pic:blipFill>
                  <pic:spPr bwMode="auto">
                    <a:xfrm>
                      <a:off x="0" y="0"/>
                      <a:ext cx="5039999" cy="3347757"/>
                    </a:xfrm>
                    <a:prstGeom prst="rect">
                      <a:avLst/>
                    </a:prstGeom>
                    <a:noFill/>
                    <a:ln w="9525">
                      <a:noFill/>
                      <a:headEnd/>
                      <a:tailEnd/>
                    </a:ln>
                  </pic:spPr>
                </pic:pic>
              </a:graphicData>
            </a:graphic>
          </wp:inline>
        </w:drawing>
      </w:r>
    </w:p>
    <w:p>
      <w:pPr>
        <w:pStyle w:val="ImageCaption"/>
      </w:pPr>
      <w:r>
        <w:t xml:space="preserve">Erreurs à un jour, volatilité conditionnelle et pluie</w:t>
      </w:r>
    </w:p>
    <w:bookmarkEnd w:id="66"/>
    <w:bookmarkEnd w:id="67"/>
    <w:bookmarkStart w:id="74" w:name="modélisation-avancée"/>
    <w:p>
      <w:pPr>
        <w:pStyle w:val="Heading1"/>
      </w:pPr>
      <w:r>
        <w:t xml:space="preserve">5. Modélisation avancée</w:t>
      </w:r>
    </w:p>
    <w:bookmarkStart w:id="71" w:name="lstm-et-gru"/>
    <w:p>
      <w:pPr>
        <w:pStyle w:val="Heading2"/>
      </w:pPr>
      <w:r>
        <w:t xml:space="preserve">5.1 LSTM et GRU</w:t>
      </w:r>
    </w:p>
    <w:p>
      <w:pPr>
        <w:pStyle w:val="FirstParagraph"/>
      </w:pPr>
      <w:r>
        <w:rPr>
          <w:b/>
          <w:bCs/>
        </w:rPr>
        <w:t xml:space="preserve">Mise en forme.</w:t>
      </w:r>
      <w:r>
        <w:t xml:space="preserve"> </w:t>
      </w:r>
      <w:r>
        <w:t xml:space="preserve">Fenêtres glissantes de L jours passés (production, nébulosité, température, humidité, pluie, aérosols, position dans l’année), prévision directe des 7 jours suivants. La cible est l’écart à la normale saisonnière (moyenne et écart-type par jour de l’année, calculés sur l’apprentissage) : le réseau part de la climatologie et n’apprend que l’écart. Normalisation avec les statistiques de l’apprentissage seulement. Deux jeux d’information : ex ante (date seulement) et ex post (météo observée des 7 jours).</w:t>
      </w:r>
    </w:p>
    <w:p>
      <w:pPr>
        <w:pStyle w:val="TableCaption"/>
      </w:pPr>
      <w:r>
        <w:t xml:space="preserve">Validation croisée temporelle des réseaux (RMSE en kWh/kWc ; climatologie : 1,129 / 1,087 / 1,130).</w:t>
      </w:r>
    </w:p>
    <w:tbl>
      <w:tblPr>
        <w:tblStyle w:val="Table"/>
        <w:tblW w:type="auto" w:w="0"/>
        <w:tblLook w:firstRow="1" w:lastRow="0" w:firstColumn="0" w:lastColumn="0" w:noHBand="0" w:noVBand="0" w:val="0020"/>
        <w:tblCaption w:val="Validation croisée temporelle des réseaux (RMSE en kWh/kWc ; climatologie : 1,129 / 1,087 / 1,130)."/>
      </w:tblPr>
      <w:tblGrid>
        <w:gridCol w:w="1131"/>
        <w:gridCol w:w="1131"/>
        <w:gridCol w:w="1131"/>
        <w:gridCol w:w="1131"/>
        <w:gridCol w:w="1131"/>
        <w:gridCol w:w="1131"/>
        <w:gridCol w:w="1131"/>
      </w:tblGrid>
      <w:tr>
        <w:trPr>
          <w:tblHeader w:val="on"/>
        </w:trPr>
        <w:tc>
          <w:tcPr/>
          <w:p>
            <w:pPr>
              <w:pStyle w:val="Compact"/>
            </w:pPr>
            <w:r>
              <w:t xml:space="preserve">Cellule</w:t>
            </w:r>
          </w:p>
        </w:tc>
        <w:tc>
          <w:tcPr/>
          <w:p>
            <w:pPr>
              <w:pStyle w:val="Compact"/>
            </w:pPr>
            <w:r>
              <w:t xml:space="preserve">Fenêtre</w:t>
            </w:r>
          </w:p>
        </w:tc>
        <w:tc>
          <w:tcPr/>
          <w:p>
            <w:pPr>
              <w:pStyle w:val="Compact"/>
            </w:pPr>
            <w:r>
              <w:t xml:space="preserve">État caché</w:t>
            </w:r>
          </w:p>
        </w:tc>
        <w:tc>
          <w:tcPr/>
          <w:p>
            <w:pPr>
              <w:pStyle w:val="Compact"/>
            </w:pPr>
            <w:r>
              <w:t xml:space="preserve">Pli 1</w:t>
            </w:r>
          </w:p>
        </w:tc>
        <w:tc>
          <w:tcPr/>
          <w:p>
            <w:pPr>
              <w:pStyle w:val="Compact"/>
            </w:pPr>
            <w:r>
              <w:t xml:space="preserve">Pli 2</w:t>
            </w:r>
          </w:p>
        </w:tc>
        <w:tc>
          <w:tcPr/>
          <w:p>
            <w:pPr>
              <w:pStyle w:val="Compact"/>
            </w:pPr>
            <w:r>
              <w:t xml:space="preserve">Pli 3</w:t>
            </w:r>
          </w:p>
        </w:tc>
        <w:tc>
          <w:tcPr/>
          <w:p>
            <w:pPr>
              <w:pStyle w:val="Compact"/>
            </w:pPr>
            <w:r>
              <w:t xml:space="preserve">Moyenne</w:t>
            </w:r>
          </w:p>
        </w:tc>
      </w:tr>
      <w:tr>
        <w:tc>
          <w:tcPr/>
          <w:p>
            <w:pPr>
              <w:pStyle w:val="Compact"/>
            </w:pPr>
            <w:r>
              <w:t xml:space="preserve">LSTM</w:t>
            </w:r>
          </w:p>
        </w:tc>
        <w:tc>
          <w:tcPr/>
          <w:p>
            <w:pPr>
              <w:pStyle w:val="Compact"/>
            </w:pPr>
            <w:r>
              <w:t xml:space="preserve">14</w:t>
            </w:r>
          </w:p>
        </w:tc>
        <w:tc>
          <w:tcPr/>
          <w:p>
            <w:pPr>
              <w:pStyle w:val="Compact"/>
            </w:pPr>
            <w:r>
              <w:t xml:space="preserve">32</w:t>
            </w:r>
          </w:p>
        </w:tc>
        <w:tc>
          <w:tcPr/>
          <w:p>
            <w:pPr>
              <w:pStyle w:val="Compact"/>
            </w:pPr>
            <w:r>
              <w:t xml:space="preserve">1,126</w:t>
            </w:r>
          </w:p>
        </w:tc>
        <w:tc>
          <w:tcPr/>
          <w:p>
            <w:pPr>
              <w:pStyle w:val="Compact"/>
            </w:pPr>
            <w:r>
              <w:t xml:space="preserve">1,083</w:t>
            </w:r>
          </w:p>
        </w:tc>
        <w:tc>
          <w:tcPr/>
          <w:p>
            <w:pPr>
              <w:pStyle w:val="Compact"/>
            </w:pPr>
            <w:r>
              <w:t xml:space="preserve">1,119</w:t>
            </w:r>
          </w:p>
        </w:tc>
        <w:tc>
          <w:tcPr/>
          <w:p>
            <w:pPr>
              <w:pStyle w:val="Compact"/>
            </w:pPr>
            <w:r>
              <w:t xml:space="preserve">1,110</w:t>
            </w:r>
          </w:p>
        </w:tc>
      </w:tr>
      <w:tr>
        <w:tc>
          <w:tcPr/>
          <w:p>
            <w:pPr>
              <w:pStyle w:val="Compact"/>
            </w:pPr>
            <w:r>
              <w:t xml:space="preserve">LSTM</w:t>
            </w:r>
          </w:p>
        </w:tc>
        <w:tc>
          <w:tcPr/>
          <w:p>
            <w:pPr>
              <w:pStyle w:val="Compact"/>
            </w:pPr>
            <w:r>
              <w:t xml:space="preserve">14</w:t>
            </w:r>
          </w:p>
        </w:tc>
        <w:tc>
          <w:tcPr/>
          <w:p>
            <w:pPr>
              <w:pStyle w:val="Compact"/>
            </w:pPr>
            <w:r>
              <w:t xml:space="preserve">64</w:t>
            </w:r>
          </w:p>
        </w:tc>
        <w:tc>
          <w:tcPr/>
          <w:p>
            <w:pPr>
              <w:pStyle w:val="Compact"/>
            </w:pPr>
            <w:r>
              <w:t xml:space="preserve">1,126</w:t>
            </w:r>
          </w:p>
        </w:tc>
        <w:tc>
          <w:tcPr/>
          <w:p>
            <w:pPr>
              <w:pStyle w:val="Compact"/>
            </w:pPr>
            <w:r>
              <w:t xml:space="preserve">1,081</w:t>
            </w:r>
          </w:p>
        </w:tc>
        <w:tc>
          <w:tcPr/>
          <w:p>
            <w:pPr>
              <w:pStyle w:val="Compact"/>
            </w:pPr>
            <w:r>
              <w:t xml:space="preserve">1,120</w:t>
            </w:r>
          </w:p>
        </w:tc>
        <w:tc>
          <w:tcPr/>
          <w:p>
            <w:pPr>
              <w:pStyle w:val="Compact"/>
            </w:pPr>
            <w:r>
              <w:t xml:space="preserve">1,109</w:t>
            </w:r>
          </w:p>
        </w:tc>
      </w:tr>
      <w:tr>
        <w:tc>
          <w:tcPr/>
          <w:p>
            <w:pPr>
              <w:pStyle w:val="Compact"/>
            </w:pPr>
            <w:r>
              <w:t xml:space="preserve">LSTM</w:t>
            </w:r>
          </w:p>
        </w:tc>
        <w:tc>
          <w:tcPr/>
          <w:p>
            <w:pPr>
              <w:pStyle w:val="Compact"/>
            </w:pPr>
            <w:r>
              <w:t xml:space="preserve">28</w:t>
            </w:r>
          </w:p>
        </w:tc>
        <w:tc>
          <w:tcPr/>
          <w:p>
            <w:pPr>
              <w:pStyle w:val="Compact"/>
            </w:pPr>
            <w:r>
              <w:t xml:space="preserve">32</w:t>
            </w:r>
          </w:p>
        </w:tc>
        <w:tc>
          <w:tcPr/>
          <w:p>
            <w:pPr>
              <w:pStyle w:val="Compact"/>
            </w:pPr>
            <w:r>
              <w:t xml:space="preserve">1,127</w:t>
            </w:r>
          </w:p>
        </w:tc>
        <w:tc>
          <w:tcPr/>
          <w:p>
            <w:pPr>
              <w:pStyle w:val="Compact"/>
            </w:pPr>
            <w:r>
              <w:t xml:space="preserve">1,083</w:t>
            </w:r>
          </w:p>
        </w:tc>
        <w:tc>
          <w:tcPr/>
          <w:p>
            <w:pPr>
              <w:pStyle w:val="Compact"/>
            </w:pPr>
            <w:r>
              <w:t xml:space="preserve">1,119</w:t>
            </w:r>
          </w:p>
        </w:tc>
        <w:tc>
          <w:tcPr/>
          <w:p>
            <w:pPr>
              <w:pStyle w:val="Compact"/>
            </w:pPr>
            <w:r>
              <w:t xml:space="preserve">1,110</w:t>
            </w:r>
          </w:p>
        </w:tc>
      </w:tr>
      <w:tr>
        <w:tc>
          <w:tcPr/>
          <w:p>
            <w:pPr>
              <w:pStyle w:val="Compact"/>
            </w:pPr>
            <w:r>
              <w:t xml:space="preserve">LSTM</w:t>
            </w:r>
          </w:p>
        </w:tc>
        <w:tc>
          <w:tcPr/>
          <w:p>
            <w:pPr>
              <w:pStyle w:val="Compact"/>
            </w:pPr>
            <w:r>
              <w:t xml:space="preserve">28</w:t>
            </w:r>
          </w:p>
        </w:tc>
        <w:tc>
          <w:tcPr/>
          <w:p>
            <w:pPr>
              <w:pStyle w:val="Compact"/>
            </w:pPr>
            <w:r>
              <w:t xml:space="preserve">64</w:t>
            </w:r>
          </w:p>
        </w:tc>
        <w:tc>
          <w:tcPr/>
          <w:p>
            <w:pPr>
              <w:pStyle w:val="Compact"/>
            </w:pPr>
            <w:r>
              <w:t xml:space="preserve">1,126</w:t>
            </w:r>
          </w:p>
        </w:tc>
        <w:tc>
          <w:tcPr/>
          <w:p>
            <w:pPr>
              <w:pStyle w:val="Compact"/>
            </w:pPr>
            <w:r>
              <w:t xml:space="preserve">1,081</w:t>
            </w:r>
          </w:p>
        </w:tc>
        <w:tc>
          <w:tcPr/>
          <w:p>
            <w:pPr>
              <w:pStyle w:val="Compact"/>
            </w:pPr>
            <w:r>
              <w:t xml:space="preserve">1,120</w:t>
            </w:r>
          </w:p>
        </w:tc>
        <w:tc>
          <w:tcPr/>
          <w:p>
            <w:pPr>
              <w:pStyle w:val="Compact"/>
            </w:pPr>
            <w:r>
              <w:t xml:space="preserve">1,109</w:t>
            </w:r>
          </w:p>
        </w:tc>
      </w:tr>
      <w:tr>
        <w:tc>
          <w:tcPr/>
          <w:p>
            <w:pPr>
              <w:pStyle w:val="Compact"/>
            </w:pPr>
            <w:r>
              <w:t xml:space="preserve">GRU</w:t>
            </w:r>
          </w:p>
        </w:tc>
        <w:tc>
          <w:tcPr/>
          <w:p>
            <w:pPr>
              <w:pStyle w:val="Compact"/>
            </w:pPr>
            <w:r>
              <w:t xml:space="preserve">14</w:t>
            </w:r>
          </w:p>
        </w:tc>
        <w:tc>
          <w:tcPr/>
          <w:p>
            <w:pPr>
              <w:pStyle w:val="Compact"/>
            </w:pPr>
            <w:r>
              <w:t xml:space="preserve">32</w:t>
            </w:r>
          </w:p>
        </w:tc>
        <w:tc>
          <w:tcPr/>
          <w:p>
            <w:pPr>
              <w:pStyle w:val="Compact"/>
            </w:pPr>
            <w:r>
              <w:t xml:space="preserve">1,122</w:t>
            </w:r>
          </w:p>
        </w:tc>
        <w:tc>
          <w:tcPr/>
          <w:p>
            <w:pPr>
              <w:pStyle w:val="Compact"/>
            </w:pPr>
            <w:r>
              <w:t xml:space="preserve">1,082</w:t>
            </w:r>
          </w:p>
        </w:tc>
        <w:tc>
          <w:tcPr/>
          <w:p>
            <w:pPr>
              <w:pStyle w:val="Compact"/>
            </w:pPr>
            <w:r>
              <w:t xml:space="preserve">1,121</w:t>
            </w:r>
          </w:p>
        </w:tc>
        <w:tc>
          <w:tcPr/>
          <w:p>
            <w:pPr>
              <w:pStyle w:val="Compact"/>
            </w:pPr>
            <w:r>
              <w:t xml:space="preserve">1,109</w:t>
            </w:r>
          </w:p>
        </w:tc>
      </w:tr>
      <w:tr>
        <w:tc>
          <w:tcPr/>
          <w:p>
            <w:pPr>
              <w:pStyle w:val="Compact"/>
            </w:pPr>
            <w:r>
              <w:t xml:space="preserve">GRU</w:t>
            </w:r>
          </w:p>
        </w:tc>
        <w:tc>
          <w:tcPr/>
          <w:p>
            <w:pPr>
              <w:pStyle w:val="Compact"/>
            </w:pPr>
            <w:r>
              <w:t xml:space="preserve">14</w:t>
            </w:r>
          </w:p>
        </w:tc>
        <w:tc>
          <w:tcPr/>
          <w:p>
            <w:pPr>
              <w:pStyle w:val="Compact"/>
            </w:pPr>
            <w:r>
              <w:t xml:space="preserve">64</w:t>
            </w:r>
          </w:p>
        </w:tc>
        <w:tc>
          <w:tcPr/>
          <w:p>
            <w:pPr>
              <w:pStyle w:val="Compact"/>
            </w:pPr>
            <w:r>
              <w:t xml:space="preserve">1,121</w:t>
            </w:r>
          </w:p>
        </w:tc>
        <w:tc>
          <w:tcPr/>
          <w:p>
            <w:pPr>
              <w:pStyle w:val="Compact"/>
            </w:pPr>
            <w:r>
              <w:t xml:space="preserve">1,081</w:t>
            </w:r>
          </w:p>
        </w:tc>
        <w:tc>
          <w:tcPr/>
          <w:p>
            <w:pPr>
              <w:pStyle w:val="Compact"/>
            </w:pPr>
            <w:r>
              <w:t xml:space="preserve">1,118</w:t>
            </w:r>
          </w:p>
        </w:tc>
        <w:tc>
          <w:tcPr/>
          <w:p>
            <w:pPr>
              <w:pStyle w:val="Compact"/>
            </w:pPr>
            <w:r>
              <w:t xml:space="preserve">1,107</w:t>
            </w:r>
          </w:p>
        </w:tc>
      </w:tr>
      <w:tr>
        <w:tc>
          <w:tcPr/>
          <w:p>
            <w:pPr>
              <w:pStyle w:val="Compact"/>
            </w:pPr>
            <w:r>
              <w:t xml:space="preserve">GRU</w:t>
            </w:r>
          </w:p>
        </w:tc>
        <w:tc>
          <w:tcPr/>
          <w:p>
            <w:pPr>
              <w:pStyle w:val="Compact"/>
            </w:pPr>
            <w:r>
              <w:t xml:space="preserve">28</w:t>
            </w:r>
          </w:p>
        </w:tc>
        <w:tc>
          <w:tcPr/>
          <w:p>
            <w:pPr>
              <w:pStyle w:val="Compact"/>
            </w:pPr>
            <w:r>
              <w:t xml:space="preserve">32</w:t>
            </w:r>
          </w:p>
        </w:tc>
        <w:tc>
          <w:tcPr/>
          <w:p>
            <w:pPr>
              <w:pStyle w:val="Compact"/>
            </w:pPr>
            <w:r>
              <w:t xml:space="preserve">1,122</w:t>
            </w:r>
          </w:p>
        </w:tc>
        <w:tc>
          <w:tcPr/>
          <w:p>
            <w:pPr>
              <w:pStyle w:val="Compact"/>
            </w:pPr>
            <w:r>
              <w:t xml:space="preserve">1,083</w:t>
            </w:r>
          </w:p>
        </w:tc>
        <w:tc>
          <w:tcPr/>
          <w:p>
            <w:pPr>
              <w:pStyle w:val="Compact"/>
            </w:pPr>
            <w:r>
              <w:t xml:space="preserve">1,120</w:t>
            </w:r>
          </w:p>
        </w:tc>
        <w:tc>
          <w:tcPr/>
          <w:p>
            <w:pPr>
              <w:pStyle w:val="Compact"/>
            </w:pPr>
            <w:r>
              <w:t xml:space="preserve">1,108</w:t>
            </w:r>
          </w:p>
        </w:tc>
      </w:tr>
      <w:tr>
        <w:tc>
          <w:tcPr/>
          <w:p>
            <w:pPr>
              <w:pStyle w:val="Compact"/>
            </w:pPr>
            <w:r>
              <w:t xml:space="preserve">GRU</w:t>
            </w:r>
          </w:p>
        </w:tc>
        <w:tc>
          <w:tcPr/>
          <w:p>
            <w:pPr>
              <w:pStyle w:val="Compact"/>
            </w:pPr>
            <w:r>
              <w:t xml:space="preserve">28</w:t>
            </w:r>
          </w:p>
        </w:tc>
        <w:tc>
          <w:tcPr/>
          <w:p>
            <w:pPr>
              <w:pStyle w:val="Compact"/>
            </w:pPr>
            <w:r>
              <w:t xml:space="preserve">64</w:t>
            </w:r>
          </w:p>
        </w:tc>
        <w:tc>
          <w:tcPr/>
          <w:p>
            <w:pPr>
              <w:pStyle w:val="Compact"/>
            </w:pPr>
            <w:r>
              <w:t xml:space="preserve">1,121</w:t>
            </w:r>
          </w:p>
        </w:tc>
        <w:tc>
          <w:tcPr/>
          <w:p>
            <w:pPr>
              <w:pStyle w:val="Compact"/>
            </w:pPr>
            <w:r>
              <w:t xml:space="preserve">1,081</w:t>
            </w:r>
          </w:p>
        </w:tc>
        <w:tc>
          <w:tcPr/>
          <w:p>
            <w:pPr>
              <w:pStyle w:val="Compact"/>
            </w:pPr>
            <w:r>
              <w:t xml:space="preserve">1,119</w:t>
            </w:r>
          </w:p>
        </w:tc>
        <w:tc>
          <w:tcPr/>
          <w:p>
            <w:pPr>
              <w:pStyle w:val="Compact"/>
            </w:pPr>
            <w:r>
              <w:t xml:space="preserve">1,107</w:t>
            </w:r>
          </w:p>
        </w:tc>
      </w:tr>
    </w:tbl>
    <w:p>
      <w:pPr>
        <w:pStyle w:val="Compact"/>
        <w:numPr>
          <w:ilvl w:val="0"/>
          <w:numId w:val="1011"/>
        </w:numPr>
      </w:pPr>
      <w:r>
        <w:rPr>
          <w:b/>
          <w:bCs/>
        </w:rPr>
        <w:t xml:space="preserve">Validation croisée temporelle</w:t>
      </w:r>
      <w:r>
        <w:t xml:space="preserve"> </w:t>
      </w:r>
      <w:r>
        <w:t xml:space="preserve">(</w:t>
      </w:r>
      <w:r>
        <w:rPr>
          <w:i/>
          <w:iCs/>
        </w:rPr>
        <w:t xml:space="preserve">walk-forward</w:t>
      </w:r>
      <w:r>
        <w:t xml:space="preserve"> </w:t>
      </w:r>
      <w:r>
        <w:t xml:space="preserve">: trois plis à fenêtre croissante, écart de 7 jours, jamais de k-fold aléatoire) : les huit configurations sont à moins de 0,003 kWh/kWc les unes des autres, pour une dispersion entre plis de 0,02. Les hyperparamètres ne sont pas identifiables ; on retient une fenêtre de 14 jours et 64 unités, une couche, un dropout de 0,1 et un arrêt anticipé (la persistance de la météo étant d’un à deux jours, une fenêtre plus longue n’apporte rien).</w:t>
      </w:r>
    </w:p>
    <w:p>
      <w:pPr>
        <w:pStyle w:val="Compact"/>
        <w:numPr>
          <w:ilvl w:val="0"/>
          <w:numId w:val="1011"/>
        </w:numPr>
      </w:pPr>
      <w:r>
        <w:rPr>
          <w:b/>
          <w:bCs/>
        </w:rPr>
        <w:t xml:space="preserve">Les réseaux apprennent peu ex ante :</w:t>
      </w:r>
      <w:r>
        <w:t xml:space="preserve"> </w:t>
      </w:r>
      <w:r>
        <w:t xml:space="preserve">la perte de validation reste plate dès les premières époques puis remonte, et l’arrêt anticipé retient la 3e époque pour le LSTM : le réseau prévoit presque la normale. Ex post, les deux courbes baissent ensemble jusqu’à un niveau deux fois plus bas.</w:t>
      </w:r>
    </w:p>
    <w:p>
      <w:pPr>
        <w:pStyle w:val="Compact"/>
        <w:numPr>
          <w:ilvl w:val="0"/>
          <w:numId w:val="1011"/>
        </w:numPr>
      </w:pPr>
      <w:r>
        <w:rPr>
          <w:b/>
          <w:bCs/>
        </w:rPr>
        <w:t xml:space="preserve">Sensibilité à la graine :</w:t>
      </w:r>
      <w:r>
        <w:t xml:space="preserve"> </w:t>
      </w:r>
      <w:r>
        <w:t xml:space="preserve">écart-type du RMSE de 0,001 ex ante, de 0,005 à 0,014 ex post. LSTM et GRU sont équivalents ; le GRU a 20 % de paramètres en moins.</w:t>
      </w:r>
    </w:p>
    <w:p>
      <w:pPr>
        <w:pStyle w:val="CaptionedFigure"/>
      </w:pPr>
      <w:r>
        <w:drawing>
          <wp:inline>
            <wp:extent cx="5334000" cy="1270227"/>
            <wp:effectExtent b="0" l="0" r="0" t="0"/>
            <wp:docPr descr="Courbes de perte" title="" id="69" name="Picture"/>
            <a:graphic>
              <a:graphicData uri="http://schemas.openxmlformats.org/drawingml/2006/picture">
                <pic:pic>
                  <pic:nvPicPr>
                    <pic:cNvPr descr="../figures/14_courbes_perte.png" id="70" name="Picture"/>
                    <pic:cNvPicPr>
                      <a:picLocks noChangeArrowheads="1" noChangeAspect="1"/>
                    </pic:cNvPicPr>
                  </pic:nvPicPr>
                  <pic:blipFill>
                    <a:blip r:embed="rId68"/>
                    <a:stretch>
                      <a:fillRect/>
                    </a:stretch>
                  </pic:blipFill>
                  <pic:spPr bwMode="auto">
                    <a:xfrm>
                      <a:off x="0" y="0"/>
                      <a:ext cx="5334000" cy="1270227"/>
                    </a:xfrm>
                    <a:prstGeom prst="rect">
                      <a:avLst/>
                    </a:prstGeom>
                    <a:noFill/>
                    <a:ln w="9525">
                      <a:noFill/>
                      <a:headEnd/>
                      <a:tailEnd/>
                    </a:ln>
                  </pic:spPr>
                </pic:pic>
              </a:graphicData>
            </a:graphic>
          </wp:inline>
        </w:drawing>
      </w:r>
    </w:p>
    <w:p>
      <w:pPr>
        <w:pStyle w:val="ImageCaption"/>
      </w:pPr>
      <w:r>
        <w:t xml:space="preserve">Courbes de perte</w:t>
      </w:r>
    </w:p>
    <w:bookmarkEnd w:id="71"/>
    <w:bookmarkStart w:id="72" w:name="approche-hybride"/>
    <w:p>
      <w:pPr>
        <w:pStyle w:val="Heading2"/>
      </w:pPr>
      <w:r>
        <w:t xml:space="preserve">5.2 Approche hybride</w:t>
      </w:r>
    </w:p>
    <w:p>
      <w:pPr>
        <w:pStyle w:val="FirstParagraph"/>
      </w:pPr>
      <w:r>
        <w:t xml:space="preserve">Un LSTM entraîné sur les erreurs à 7 jours de l’ARIMA-Fourier n’en explique que 0,8 % sur le test (RMSE de 1,085 contre 1,089) : sans information nouvelle sur la météo à venir, il ne reste presque pas de structure non linéaire. La limite vient de l’information disponible, pas de la classe de modèles.</w:t>
      </w:r>
    </w:p>
    <w:bookmarkEnd w:id="72"/>
    <w:bookmarkStart w:id="73" w:name="modèles-additionnels"/>
    <w:p>
      <w:pPr>
        <w:pStyle w:val="Heading2"/>
      </w:pPr>
      <w:r>
        <w:t xml:space="preserve">5.3 Modèles additionnels</w:t>
      </w:r>
    </w:p>
    <w:p>
      <w:pPr>
        <w:pStyle w:val="Compact"/>
        <w:numPr>
          <w:ilvl w:val="0"/>
          <w:numId w:val="1012"/>
        </w:numPr>
      </w:pPr>
      <w:r>
        <w:rPr>
          <w:b/>
          <w:bCs/>
        </w:rPr>
        <w:t xml:space="preserve">Prophet</w:t>
      </w:r>
      <w:r>
        <w:t xml:space="preserve"> </w:t>
      </w:r>
      <w:r>
        <w:t xml:space="preserve">(1,097) n’est qu’une climatologie lissée : il n’utilise pas les dernières observations.</w:t>
      </w:r>
    </w:p>
    <w:p>
      <w:pPr>
        <w:pStyle w:val="Compact"/>
        <w:numPr>
          <w:ilvl w:val="0"/>
          <w:numId w:val="1012"/>
        </w:numPr>
      </w:pPr>
      <w:r>
        <w:rPr>
          <w:b/>
          <w:bCs/>
        </w:rPr>
        <w:t xml:space="preserve">XGBoost en prévision directe</w:t>
      </w:r>
      <w:r>
        <w:t xml:space="preserve"> </w:t>
      </w:r>
      <w:r>
        <w:t xml:space="preserve">(20 variables) : meilleur modèle ex ante à un jour (0,985). Son importance des variables confirme la section 3.7 : normale du jour visé, position dans l’année et rayonnement extraterrestre dominent ; la nébulosité du jour d’origine ne compte qu’à un jour.</w:t>
      </w:r>
    </w:p>
    <w:p>
      <w:pPr>
        <w:pStyle w:val="Compact"/>
        <w:numPr>
          <w:ilvl w:val="0"/>
          <w:numId w:val="1012"/>
        </w:numPr>
      </w:pPr>
      <w:r>
        <w:rPr>
          <w:b/>
          <w:bCs/>
        </w:rPr>
        <w:t xml:space="preserve">LSTM global entraîné sur les 9 villes</w:t>
      </w:r>
      <w:r>
        <w:t xml:space="preserve"> </w:t>
      </w:r>
      <w:r>
        <w:t xml:space="preserve">(50 238 fenêtres, chaque ville ramenée à ses propres normales) : sur Tunis, 1,078 contre 1,082 pour le LSTM local, significativement meilleur à 7 jours. Le même réseau bat la climatologie dans les 9 villes, de 1,2 % à Tozeur (ciel le plus stable) à 3,8 % à Madrid.</w:t>
      </w:r>
    </w:p>
    <w:bookmarkEnd w:id="73"/>
    <w:bookmarkEnd w:id="74"/>
    <w:bookmarkStart w:id="78" w:name="prévision-et-évaluation"/>
    <w:p>
      <w:pPr>
        <w:pStyle w:val="Heading1"/>
      </w:pPr>
      <w:r>
        <w:t xml:space="preserve">6. Prévision et évaluation</w:t>
      </w:r>
    </w:p>
    <w:p>
      <w:pPr>
        <w:pStyle w:val="FirstParagraph"/>
      </w:pPr>
      <w:r>
        <w:rPr>
          <w:b/>
          <w:bCs/>
        </w:rPr>
        <w:t xml:space="preserve">Protocole.</w:t>
      </w:r>
      <w:r>
        <w:t xml:space="preserve"> </w:t>
      </w:r>
      <w:r>
        <w:t xml:space="preserve">Pour chacune des 688 origines du test, chaque modèle prévoit les 7 jours suivants (h = 7) avec les paramètres de l’apprentissage et les seules observations disponibles à l’origine. Deux références : la persistance (demain comme aujourd’hui) et la climatologie (normale saisonnière du jour).</w:t>
      </w:r>
    </w:p>
    <w:p>
      <w:pPr>
        <w:pStyle w:val="TableCaption"/>
      </w:pPr>
      <w:r>
        <w:t xml:space="preserve">Métriques sur 688 prévisions glissantes à 7 jours (kWh/kWc), tous horizons confondus.</w:t>
      </w:r>
    </w:p>
    <w:tbl>
      <w:tblPr>
        <w:tblStyle w:val="Table"/>
        <w:tblW w:type="pct" w:w="5000"/>
        <w:tblLayout w:type="fixed"/>
        <w:tblLook w:firstRow="1" w:lastRow="0" w:firstColumn="0" w:lastColumn="0" w:noHBand="0" w:noVBand="0" w:val="0020"/>
        <w:tblCaption w:val="Métriques sur 688 prévisions glissantes à 7 jours (kWh/kWc), tous horizons confondus."/>
      </w:tblPr>
      <w:tblGrid>
        <w:gridCol w:w="792"/>
        <w:gridCol w:w="792"/>
        <w:gridCol w:w="792"/>
        <w:gridCol w:w="792"/>
        <w:gridCol w:w="792"/>
        <w:gridCol w:w="792"/>
        <w:gridCol w:w="792"/>
        <w:gridCol w:w="792"/>
        <w:gridCol w:w="792"/>
        <w:gridCol w:w="792"/>
      </w:tblGrid>
      <w:tr>
        <w:trPr>
          <w:tblHeader w:val="on"/>
        </w:trPr>
        <w:tc>
          <w:tcPr/>
          <w:p>
            <w:pPr>
              <w:pStyle w:val="Compact"/>
            </w:pPr>
            <w:r>
              <w:t xml:space="preserve">Modèle</w:t>
            </w:r>
          </w:p>
        </w:tc>
        <w:tc>
          <w:tcPr/>
          <w:p>
            <w:pPr>
              <w:pStyle w:val="Compact"/>
            </w:pPr>
            <w:r>
              <w:t xml:space="preserve">Information</w:t>
            </w:r>
          </w:p>
        </w:tc>
        <w:tc>
          <w:tcPr/>
          <w:p>
            <w:pPr>
              <w:pStyle w:val="Compact"/>
            </w:pPr>
            <w:r>
              <w:t xml:space="preserve">MSE</w:t>
            </w:r>
          </w:p>
        </w:tc>
        <w:tc>
          <w:tcPr/>
          <w:p>
            <w:pPr>
              <w:pStyle w:val="Compact"/>
            </w:pPr>
            <w:r>
              <w:t xml:space="preserve">RMSE</w:t>
            </w:r>
          </w:p>
        </w:tc>
        <w:tc>
          <w:tcPr/>
          <w:p>
            <w:pPr>
              <w:pStyle w:val="Compact"/>
            </w:pPr>
            <w:r>
              <w:t xml:space="preserve">MAE</w:t>
            </w:r>
          </w:p>
        </w:tc>
        <w:tc>
          <w:tcPr/>
          <w:p>
            <w:pPr>
              <w:pStyle w:val="Compact"/>
            </w:pPr>
            <w:r>
              <w:t xml:space="preserve">MAPE</w:t>
            </w:r>
          </w:p>
        </w:tc>
        <w:tc>
          <w:tcPr/>
          <w:p>
            <w:pPr>
              <w:pStyle w:val="Compact"/>
            </w:pPr>
            <w:r>
              <w:t xml:space="preserve">WAPE</w:t>
            </w:r>
          </w:p>
        </w:tc>
        <w:tc>
          <w:tcPr/>
          <w:p>
            <w:pPr>
              <w:pStyle w:val="Compact"/>
            </w:pPr>
            <w:r>
              <w:t xml:space="preserve">RMSE h=1</w:t>
            </w:r>
          </w:p>
        </w:tc>
        <w:tc>
          <w:tcPr/>
          <w:p>
            <w:pPr>
              <w:pStyle w:val="Compact"/>
            </w:pPr>
            <w:r>
              <w:t xml:space="preserve">RMSE h=7</w:t>
            </w:r>
          </w:p>
        </w:tc>
        <w:tc>
          <w:tcPr/>
          <w:p>
            <w:pPr>
              <w:pStyle w:val="Compact"/>
            </w:pPr>
            <w:r>
              <w:t xml:space="preserve">Couv. IC 95 %</w:t>
            </w:r>
          </w:p>
        </w:tc>
      </w:tr>
      <w:tr>
        <w:tc>
          <w:tcPr/>
          <w:p>
            <w:pPr>
              <w:pStyle w:val="Compact"/>
            </w:pPr>
            <w:r>
              <w:t xml:space="preserve">Persistance (J)</w:t>
            </w:r>
          </w:p>
        </w:tc>
        <w:tc>
          <w:tcPr/>
          <w:p>
            <w:pPr>
              <w:pStyle w:val="Compact"/>
            </w:pPr>
            <w:r>
              <w:t xml:space="preserve">ex ante</w:t>
            </w:r>
          </w:p>
        </w:tc>
        <w:tc>
          <w:tcPr/>
          <w:p>
            <w:pPr>
              <w:pStyle w:val="Compact"/>
            </w:pPr>
            <w:r>
              <w:t xml:space="preserve">2,055</w:t>
            </w:r>
          </w:p>
        </w:tc>
        <w:tc>
          <w:tcPr/>
          <w:p>
            <w:pPr>
              <w:pStyle w:val="Compact"/>
            </w:pPr>
            <w:r>
              <w:t xml:space="preserve">1,434</w:t>
            </w:r>
          </w:p>
        </w:tc>
        <w:tc>
          <w:tcPr/>
          <w:p>
            <w:pPr>
              <w:pStyle w:val="Compact"/>
            </w:pPr>
            <w:r>
              <w:t xml:space="preserve">0,984</w:t>
            </w:r>
          </w:p>
        </w:tc>
        <w:tc>
          <w:tcPr/>
          <w:p>
            <w:pPr>
              <w:pStyle w:val="Compact"/>
            </w:pPr>
            <w:r>
              <w:t xml:space="preserve">33,5 %</w:t>
            </w:r>
          </w:p>
        </w:tc>
        <w:tc>
          <w:tcPr/>
          <w:p>
            <w:pPr>
              <w:pStyle w:val="Compact"/>
            </w:pPr>
            <w:r>
              <w:t xml:space="preserve">22,0 %</w:t>
            </w:r>
          </w:p>
        </w:tc>
        <w:tc>
          <w:tcPr/>
          <w:p>
            <w:pPr>
              <w:pStyle w:val="Compact"/>
            </w:pPr>
            <w:r>
              <w:t xml:space="preserve">1,236</w:t>
            </w:r>
          </w:p>
        </w:tc>
        <w:tc>
          <w:tcPr/>
          <w:p>
            <w:pPr>
              <w:pStyle w:val="Compact"/>
            </w:pPr>
            <w:r>
              <w:t xml:space="preserve">1,466</w:t>
            </w:r>
          </w:p>
        </w:tc>
        <w:tc>
          <w:tcPr/>
          <w:p>
            <w:pPr>
              <w:pStyle w:val="Compact"/>
            </w:pPr>
            <w:r>
              <w:t xml:space="preserve">-</w:t>
            </w:r>
          </w:p>
        </w:tc>
      </w:tr>
      <w:tr>
        <w:tc>
          <w:tcPr/>
          <w:p>
            <w:pPr>
              <w:pStyle w:val="Compact"/>
            </w:pPr>
            <w:r>
              <w:t xml:space="preserve">Climatologie</w:t>
            </w:r>
          </w:p>
        </w:tc>
        <w:tc>
          <w:tcPr/>
          <w:p>
            <w:pPr>
              <w:pStyle w:val="Compact"/>
            </w:pPr>
            <w:r>
              <w:t xml:space="preserve">ex ante</w:t>
            </w:r>
          </w:p>
        </w:tc>
        <w:tc>
          <w:tcPr/>
          <w:p>
            <w:pPr>
              <w:pStyle w:val="Compact"/>
            </w:pPr>
            <w:r>
              <w:t xml:space="preserve">1,210</w:t>
            </w:r>
          </w:p>
        </w:tc>
        <w:tc>
          <w:tcPr/>
          <w:p>
            <w:pPr>
              <w:pStyle w:val="Compact"/>
            </w:pPr>
            <w:r>
              <w:t xml:space="preserve">1,100</w:t>
            </w:r>
          </w:p>
        </w:tc>
        <w:tc>
          <w:tcPr/>
          <w:p>
            <w:pPr>
              <w:pStyle w:val="Compact"/>
            </w:pPr>
            <w:r>
              <w:t xml:space="preserve">0,856</w:t>
            </w:r>
          </w:p>
        </w:tc>
        <w:tc>
          <w:tcPr/>
          <w:p>
            <w:pPr>
              <w:pStyle w:val="Compact"/>
            </w:pPr>
            <w:r>
              <w:t xml:space="preserve">30,2 %</w:t>
            </w:r>
          </w:p>
        </w:tc>
        <w:tc>
          <w:tcPr/>
          <w:p>
            <w:pPr>
              <w:pStyle w:val="Compact"/>
            </w:pPr>
            <w:r>
              <w:t xml:space="preserve">19,1 %</w:t>
            </w:r>
          </w:p>
        </w:tc>
        <w:tc>
          <w:tcPr/>
          <w:p>
            <w:pPr>
              <w:pStyle w:val="Compact"/>
            </w:pPr>
            <w:r>
              <w:t xml:space="preserve">1,102</w:t>
            </w:r>
          </w:p>
        </w:tc>
        <w:tc>
          <w:tcPr/>
          <w:p>
            <w:pPr>
              <w:pStyle w:val="Compact"/>
            </w:pPr>
            <w:r>
              <w:t xml:space="preserve">1,097</w:t>
            </w:r>
          </w:p>
        </w:tc>
        <w:tc>
          <w:tcPr/>
          <w:p>
            <w:pPr>
              <w:pStyle w:val="Compact"/>
            </w:pPr>
            <w:r>
              <w:t xml:space="preserve">-</w:t>
            </w:r>
          </w:p>
        </w:tc>
      </w:tr>
      <w:tr>
        <w:tc>
          <w:tcPr/>
          <w:p>
            <w:pPr>
              <w:pStyle w:val="Compact"/>
            </w:pPr>
            <w:r>
              <w:t xml:space="preserve">ARIMA-Fourier manuel</w:t>
            </w:r>
          </w:p>
        </w:tc>
        <w:tc>
          <w:tcPr/>
          <w:p>
            <w:pPr>
              <w:pStyle w:val="Compact"/>
            </w:pPr>
            <w:r>
              <w:t xml:space="preserve">ex ante</w:t>
            </w:r>
          </w:p>
        </w:tc>
        <w:tc>
          <w:tcPr/>
          <w:p>
            <w:pPr>
              <w:pStyle w:val="Compact"/>
            </w:pPr>
            <w:r>
              <w:t xml:space="preserve">1,186</w:t>
            </w:r>
          </w:p>
        </w:tc>
        <w:tc>
          <w:tcPr/>
          <w:p>
            <w:pPr>
              <w:pStyle w:val="Compact"/>
            </w:pPr>
            <w:r>
              <w:t xml:space="preserve">1,089</w:t>
            </w:r>
          </w:p>
        </w:tc>
        <w:tc>
          <w:tcPr/>
          <w:p>
            <w:pPr>
              <w:pStyle w:val="Compact"/>
            </w:pPr>
            <w:r>
              <w:t xml:space="preserve">0,841</w:t>
            </w:r>
          </w:p>
        </w:tc>
        <w:tc>
          <w:tcPr/>
          <w:p>
            <w:pPr>
              <w:pStyle w:val="Compact"/>
            </w:pPr>
            <w:r>
              <w:t xml:space="preserve">29,7 %</w:t>
            </w:r>
          </w:p>
        </w:tc>
        <w:tc>
          <w:tcPr/>
          <w:p>
            <w:pPr>
              <w:pStyle w:val="Compact"/>
            </w:pPr>
            <w:r>
              <w:t xml:space="preserve">18,8 %</w:t>
            </w:r>
          </w:p>
        </w:tc>
        <w:tc>
          <w:tcPr/>
          <w:p>
            <w:pPr>
              <w:pStyle w:val="Compact"/>
            </w:pPr>
            <w:r>
              <w:t xml:space="preserve">1,030</w:t>
            </w:r>
          </w:p>
        </w:tc>
        <w:tc>
          <w:tcPr/>
          <w:p>
            <w:pPr>
              <w:pStyle w:val="Compact"/>
            </w:pPr>
            <w:r>
              <w:t xml:space="preserve">1,099</w:t>
            </w:r>
          </w:p>
        </w:tc>
        <w:tc>
          <w:tcPr/>
          <w:p>
            <w:pPr>
              <w:pStyle w:val="Compact"/>
            </w:pPr>
            <w:r>
              <w:t xml:space="preserve">95,0 %</w:t>
            </w:r>
          </w:p>
        </w:tc>
      </w:tr>
      <w:tr>
        <w:tc>
          <w:tcPr/>
          <w:p>
            <w:pPr>
              <w:pStyle w:val="Compact"/>
            </w:pPr>
            <w:r>
              <w:t xml:space="preserve">ARIMA-Fourier auto</w:t>
            </w:r>
          </w:p>
        </w:tc>
        <w:tc>
          <w:tcPr/>
          <w:p>
            <w:pPr>
              <w:pStyle w:val="Compact"/>
            </w:pPr>
            <w:r>
              <w:t xml:space="preserve">ex ante</w:t>
            </w:r>
          </w:p>
        </w:tc>
        <w:tc>
          <w:tcPr/>
          <w:p>
            <w:pPr>
              <w:pStyle w:val="Compact"/>
            </w:pPr>
            <w:r>
              <w:t xml:space="preserve">1,186</w:t>
            </w:r>
          </w:p>
        </w:tc>
        <w:tc>
          <w:tcPr/>
          <w:p>
            <w:pPr>
              <w:pStyle w:val="Compact"/>
            </w:pPr>
            <w:r>
              <w:t xml:space="preserve">1,089</w:t>
            </w:r>
          </w:p>
        </w:tc>
        <w:tc>
          <w:tcPr/>
          <w:p>
            <w:pPr>
              <w:pStyle w:val="Compact"/>
            </w:pPr>
            <w:r>
              <w:t xml:space="preserve">0,841</w:t>
            </w:r>
          </w:p>
        </w:tc>
        <w:tc>
          <w:tcPr/>
          <w:p>
            <w:pPr>
              <w:pStyle w:val="Compact"/>
            </w:pPr>
            <w:r>
              <w:t xml:space="preserve">29,7 %</w:t>
            </w:r>
          </w:p>
        </w:tc>
        <w:tc>
          <w:tcPr/>
          <w:p>
            <w:pPr>
              <w:pStyle w:val="Compact"/>
            </w:pPr>
            <w:r>
              <w:t xml:space="preserve">18,8 %</w:t>
            </w:r>
          </w:p>
        </w:tc>
        <w:tc>
          <w:tcPr/>
          <w:p>
            <w:pPr>
              <w:pStyle w:val="Compact"/>
            </w:pPr>
            <w:r>
              <w:t xml:space="preserve">1,030</w:t>
            </w:r>
          </w:p>
        </w:tc>
        <w:tc>
          <w:tcPr/>
          <w:p>
            <w:pPr>
              <w:pStyle w:val="Compact"/>
            </w:pPr>
            <w:r>
              <w:t xml:space="preserve">1,099</w:t>
            </w:r>
          </w:p>
        </w:tc>
        <w:tc>
          <w:tcPr/>
          <w:p>
            <w:pPr>
              <w:pStyle w:val="Compact"/>
            </w:pPr>
            <w:r>
              <w:t xml:space="preserve">95,0 %</w:t>
            </w:r>
          </w:p>
        </w:tc>
      </w:tr>
      <w:tr>
        <w:tc>
          <w:tcPr/>
          <w:p>
            <w:pPr>
              <w:pStyle w:val="Compact"/>
            </w:pPr>
            <w:r>
              <w:t xml:space="preserve">VAR</w:t>
            </w:r>
          </w:p>
        </w:tc>
        <w:tc>
          <w:tcPr/>
          <w:p>
            <w:pPr>
              <w:pStyle w:val="Compact"/>
            </w:pPr>
            <w:r>
              <w:t xml:space="preserve">ex ante</w:t>
            </w:r>
          </w:p>
        </w:tc>
        <w:tc>
          <w:tcPr/>
          <w:p>
            <w:pPr>
              <w:pStyle w:val="Compact"/>
            </w:pPr>
            <w:r>
              <w:t xml:space="preserve">1,169</w:t>
            </w:r>
          </w:p>
        </w:tc>
        <w:tc>
          <w:tcPr/>
          <w:p>
            <w:pPr>
              <w:pStyle w:val="Compact"/>
            </w:pPr>
            <w:r>
              <w:t xml:space="preserve">1,081</w:t>
            </w:r>
          </w:p>
        </w:tc>
        <w:tc>
          <w:tcPr/>
          <w:p>
            <w:pPr>
              <w:pStyle w:val="Compact"/>
            </w:pPr>
            <w:r>
              <w:t xml:space="preserve">0,834</w:t>
            </w:r>
          </w:p>
        </w:tc>
        <w:tc>
          <w:tcPr/>
          <w:p>
            <w:pPr>
              <w:pStyle w:val="Compact"/>
            </w:pPr>
            <w:r>
              <w:t xml:space="preserve">29,5 %</w:t>
            </w:r>
          </w:p>
        </w:tc>
        <w:tc>
          <w:tcPr/>
          <w:p>
            <w:pPr>
              <w:pStyle w:val="Compact"/>
            </w:pPr>
            <w:r>
              <w:t xml:space="preserve">18,6 %</w:t>
            </w:r>
          </w:p>
        </w:tc>
        <w:tc>
          <w:tcPr/>
          <w:p>
            <w:pPr>
              <w:pStyle w:val="Compact"/>
            </w:pPr>
            <w:r>
              <w:t xml:space="preserve">1,009</w:t>
            </w:r>
          </w:p>
        </w:tc>
        <w:tc>
          <w:tcPr/>
          <w:p>
            <w:pPr>
              <w:pStyle w:val="Compact"/>
            </w:pPr>
            <w:r>
              <w:t xml:space="preserve">1,096</w:t>
            </w:r>
          </w:p>
        </w:tc>
        <w:tc>
          <w:tcPr/>
          <w:p>
            <w:pPr>
              <w:pStyle w:val="Compact"/>
            </w:pPr>
            <w:r>
              <w:t xml:space="preserve">95,2 %</w:t>
            </w:r>
          </w:p>
        </w:tc>
      </w:tr>
      <w:tr>
        <w:tc>
          <w:tcPr/>
          <w:p>
            <w:pPr>
              <w:pStyle w:val="Compact"/>
            </w:pPr>
            <w:r>
              <w:t xml:space="preserve">Prophet</w:t>
            </w:r>
          </w:p>
        </w:tc>
        <w:tc>
          <w:tcPr/>
          <w:p>
            <w:pPr>
              <w:pStyle w:val="Compact"/>
            </w:pPr>
            <w:r>
              <w:t xml:space="preserve">ex ante</w:t>
            </w:r>
          </w:p>
        </w:tc>
        <w:tc>
          <w:tcPr/>
          <w:p>
            <w:pPr>
              <w:pStyle w:val="Compact"/>
            </w:pPr>
            <w:r>
              <w:t xml:space="preserve">1,203</w:t>
            </w:r>
          </w:p>
        </w:tc>
        <w:tc>
          <w:tcPr/>
          <w:p>
            <w:pPr>
              <w:pStyle w:val="Compact"/>
            </w:pPr>
            <w:r>
              <w:t xml:space="preserve">1,097</w:t>
            </w:r>
          </w:p>
        </w:tc>
        <w:tc>
          <w:tcPr/>
          <w:p>
            <w:pPr>
              <w:pStyle w:val="Compact"/>
            </w:pPr>
            <w:r>
              <w:t xml:space="preserve">0,837</w:t>
            </w:r>
          </w:p>
        </w:tc>
        <w:tc>
          <w:tcPr/>
          <w:p>
            <w:pPr>
              <w:pStyle w:val="Compact"/>
            </w:pPr>
            <w:r>
              <w:t xml:space="preserve">30,3 %</w:t>
            </w:r>
          </w:p>
        </w:tc>
        <w:tc>
          <w:tcPr/>
          <w:p>
            <w:pPr>
              <w:pStyle w:val="Compact"/>
            </w:pPr>
            <w:r>
              <w:t xml:space="preserve">18,7 %</w:t>
            </w:r>
          </w:p>
        </w:tc>
        <w:tc>
          <w:tcPr/>
          <w:p>
            <w:pPr>
              <w:pStyle w:val="Compact"/>
            </w:pPr>
            <w:r>
              <w:t xml:space="preserve">1,098</w:t>
            </w:r>
          </w:p>
        </w:tc>
        <w:tc>
          <w:tcPr/>
          <w:p>
            <w:pPr>
              <w:pStyle w:val="Compact"/>
            </w:pPr>
            <w:r>
              <w:t xml:space="preserve">1,094</w:t>
            </w:r>
          </w:p>
        </w:tc>
        <w:tc>
          <w:tcPr/>
          <w:p>
            <w:pPr>
              <w:pStyle w:val="Compact"/>
            </w:pPr>
            <w:r>
              <w:t xml:space="preserve">94,6 %</w:t>
            </w:r>
          </w:p>
        </w:tc>
      </w:tr>
      <w:tr>
        <w:tc>
          <w:tcPr/>
          <w:p>
            <w:pPr>
              <w:pStyle w:val="Compact"/>
            </w:pPr>
            <w:r>
              <w:t xml:space="preserve">LSTM</w:t>
            </w:r>
          </w:p>
        </w:tc>
        <w:tc>
          <w:tcPr/>
          <w:p>
            <w:pPr>
              <w:pStyle w:val="Compact"/>
            </w:pPr>
            <w:r>
              <w:t xml:space="preserve">ex ante</w:t>
            </w:r>
          </w:p>
        </w:tc>
        <w:tc>
          <w:tcPr/>
          <w:p>
            <w:pPr>
              <w:pStyle w:val="Compact"/>
            </w:pPr>
            <w:r>
              <w:t xml:space="preserve">1,171</w:t>
            </w:r>
          </w:p>
        </w:tc>
        <w:tc>
          <w:tcPr/>
          <w:p>
            <w:pPr>
              <w:pStyle w:val="Compact"/>
            </w:pPr>
            <w:r>
              <w:t xml:space="preserve">1,082</w:t>
            </w:r>
          </w:p>
        </w:tc>
        <w:tc>
          <w:tcPr/>
          <w:p>
            <w:pPr>
              <w:pStyle w:val="Compact"/>
            </w:pPr>
            <w:r>
              <w:t xml:space="preserve">0,835</w:t>
            </w:r>
          </w:p>
        </w:tc>
        <w:tc>
          <w:tcPr/>
          <w:p>
            <w:pPr>
              <w:pStyle w:val="Compact"/>
            </w:pPr>
            <w:r>
              <w:t xml:space="preserve">29,5 %</w:t>
            </w:r>
          </w:p>
        </w:tc>
        <w:tc>
          <w:tcPr/>
          <w:p>
            <w:pPr>
              <w:pStyle w:val="Compact"/>
            </w:pPr>
            <w:r>
              <w:t xml:space="preserve">18,6 %</w:t>
            </w:r>
          </w:p>
        </w:tc>
        <w:tc>
          <w:tcPr/>
          <w:p>
            <w:pPr>
              <w:pStyle w:val="Compact"/>
            </w:pPr>
            <w:r>
              <w:t xml:space="preserve">0,987</w:t>
            </w:r>
          </w:p>
        </w:tc>
        <w:tc>
          <w:tcPr/>
          <w:p>
            <w:pPr>
              <w:pStyle w:val="Compact"/>
            </w:pPr>
            <w:r>
              <w:t xml:space="preserve">1,106</w:t>
            </w:r>
          </w:p>
        </w:tc>
        <w:tc>
          <w:tcPr/>
          <w:p>
            <w:pPr>
              <w:pStyle w:val="Compact"/>
            </w:pPr>
            <w:r>
              <w:t xml:space="preserve">-</w:t>
            </w:r>
          </w:p>
        </w:tc>
      </w:tr>
      <w:tr>
        <w:tc>
          <w:tcPr/>
          <w:p>
            <w:pPr>
              <w:pStyle w:val="Compact"/>
            </w:pPr>
            <w:r>
              <w:t xml:space="preserve">GRU</w:t>
            </w:r>
          </w:p>
        </w:tc>
        <w:tc>
          <w:tcPr/>
          <w:p>
            <w:pPr>
              <w:pStyle w:val="Compact"/>
            </w:pPr>
            <w:r>
              <w:t xml:space="preserve">ex ante</w:t>
            </w:r>
          </w:p>
        </w:tc>
        <w:tc>
          <w:tcPr/>
          <w:p>
            <w:pPr>
              <w:pStyle w:val="Compact"/>
            </w:pPr>
            <w:r>
              <w:t xml:space="preserve">1,171</w:t>
            </w:r>
          </w:p>
        </w:tc>
        <w:tc>
          <w:tcPr/>
          <w:p>
            <w:pPr>
              <w:pStyle w:val="Compact"/>
            </w:pPr>
            <w:r>
              <w:t xml:space="preserve">1,082</w:t>
            </w:r>
          </w:p>
        </w:tc>
        <w:tc>
          <w:tcPr/>
          <w:p>
            <w:pPr>
              <w:pStyle w:val="Compact"/>
            </w:pPr>
            <w:r>
              <w:t xml:space="preserve">0,830</w:t>
            </w:r>
          </w:p>
        </w:tc>
        <w:tc>
          <w:tcPr/>
          <w:p>
            <w:pPr>
              <w:pStyle w:val="Compact"/>
            </w:pPr>
            <w:r>
              <w:t xml:space="preserve">29,5 %</w:t>
            </w:r>
          </w:p>
        </w:tc>
        <w:tc>
          <w:tcPr/>
          <w:p>
            <w:pPr>
              <w:pStyle w:val="Compact"/>
            </w:pPr>
            <w:r>
              <w:t xml:space="preserve">18,5 %</w:t>
            </w:r>
          </w:p>
        </w:tc>
        <w:tc>
          <w:tcPr/>
          <w:p>
            <w:pPr>
              <w:pStyle w:val="Compact"/>
            </w:pPr>
            <w:r>
              <w:t xml:space="preserve">0,987</w:t>
            </w:r>
          </w:p>
        </w:tc>
        <w:tc>
          <w:tcPr/>
          <w:p>
            <w:pPr>
              <w:pStyle w:val="Compact"/>
            </w:pPr>
            <w:r>
              <w:t xml:space="preserve">1,102</w:t>
            </w:r>
          </w:p>
        </w:tc>
        <w:tc>
          <w:tcPr/>
          <w:p>
            <w:pPr>
              <w:pStyle w:val="Compact"/>
            </w:pPr>
            <w:r>
              <w:t xml:space="preserve">-</w:t>
            </w:r>
          </w:p>
        </w:tc>
      </w:tr>
      <w:tr>
        <w:tc>
          <w:tcPr/>
          <w:p>
            <w:pPr>
              <w:pStyle w:val="Compact"/>
            </w:pPr>
            <w:r>
              <w:t xml:space="preserve">Hybride ARIMA + LSTM</w:t>
            </w:r>
          </w:p>
        </w:tc>
        <w:tc>
          <w:tcPr/>
          <w:p>
            <w:pPr>
              <w:pStyle w:val="Compact"/>
            </w:pPr>
            <w:r>
              <w:t xml:space="preserve">ex ante</w:t>
            </w:r>
          </w:p>
        </w:tc>
        <w:tc>
          <w:tcPr/>
          <w:p>
            <w:pPr>
              <w:pStyle w:val="Compact"/>
            </w:pPr>
            <w:r>
              <w:t xml:space="preserve">1,177</w:t>
            </w:r>
          </w:p>
        </w:tc>
        <w:tc>
          <w:tcPr/>
          <w:p>
            <w:pPr>
              <w:pStyle w:val="Compact"/>
            </w:pPr>
            <w:r>
              <w:t xml:space="preserve">1,085</w:t>
            </w:r>
          </w:p>
        </w:tc>
        <w:tc>
          <w:tcPr/>
          <w:p>
            <w:pPr>
              <w:pStyle w:val="Compact"/>
            </w:pPr>
            <w:r>
              <w:t xml:space="preserve">0,821</w:t>
            </w:r>
          </w:p>
        </w:tc>
        <w:tc>
          <w:tcPr/>
          <w:p>
            <w:pPr>
              <w:pStyle w:val="Compact"/>
            </w:pPr>
            <w:r>
              <w:t xml:space="preserve">29,7 %</w:t>
            </w:r>
          </w:p>
        </w:tc>
        <w:tc>
          <w:tcPr/>
          <w:p>
            <w:pPr>
              <w:pStyle w:val="Compact"/>
            </w:pPr>
            <w:r>
              <w:t xml:space="preserve">18,3 %</w:t>
            </w:r>
          </w:p>
        </w:tc>
        <w:tc>
          <w:tcPr/>
          <w:p>
            <w:pPr>
              <w:pStyle w:val="Compact"/>
            </w:pPr>
            <w:r>
              <w:t xml:space="preserve">0,994</w:t>
            </w:r>
          </w:p>
        </w:tc>
        <w:tc>
          <w:tcPr/>
          <w:p>
            <w:pPr>
              <w:pStyle w:val="Compact"/>
            </w:pPr>
            <w:r>
              <w:t xml:space="preserve">1,104</w:t>
            </w:r>
          </w:p>
        </w:tc>
        <w:tc>
          <w:tcPr/>
          <w:p>
            <w:pPr>
              <w:pStyle w:val="Compact"/>
            </w:pPr>
            <w:r>
              <w:t xml:space="preserve">-</w:t>
            </w:r>
          </w:p>
        </w:tc>
      </w:tr>
      <w:tr>
        <w:tc>
          <w:tcPr/>
          <w:p>
            <w:pPr>
              <w:pStyle w:val="Compact"/>
            </w:pPr>
            <w:r>
              <w:t xml:space="preserve">XGBoost direct</w:t>
            </w:r>
          </w:p>
        </w:tc>
        <w:tc>
          <w:tcPr/>
          <w:p>
            <w:pPr>
              <w:pStyle w:val="Compact"/>
            </w:pPr>
            <w:r>
              <w:t xml:space="preserve">ex ante</w:t>
            </w:r>
          </w:p>
        </w:tc>
        <w:tc>
          <w:tcPr/>
          <w:p>
            <w:pPr>
              <w:pStyle w:val="Compact"/>
            </w:pPr>
            <w:r>
              <w:t xml:space="preserve">1,174</w:t>
            </w:r>
          </w:p>
        </w:tc>
        <w:tc>
          <w:tcPr/>
          <w:p>
            <w:pPr>
              <w:pStyle w:val="Compact"/>
            </w:pPr>
            <w:r>
              <w:t xml:space="preserve">1,083</w:t>
            </w:r>
          </w:p>
        </w:tc>
        <w:tc>
          <w:tcPr/>
          <w:p>
            <w:pPr>
              <w:pStyle w:val="Compact"/>
            </w:pPr>
            <w:r>
              <w:t xml:space="preserve">0,841</w:t>
            </w:r>
          </w:p>
        </w:tc>
        <w:tc>
          <w:tcPr/>
          <w:p>
            <w:pPr>
              <w:pStyle w:val="Compact"/>
            </w:pPr>
            <w:r>
              <w:t xml:space="preserve">29,8 %</w:t>
            </w:r>
          </w:p>
        </w:tc>
        <w:tc>
          <w:tcPr/>
          <w:p>
            <w:pPr>
              <w:pStyle w:val="Compact"/>
            </w:pPr>
            <w:r>
              <w:t xml:space="preserve">18,8 %</w:t>
            </w:r>
          </w:p>
        </w:tc>
        <w:tc>
          <w:tcPr/>
          <w:p>
            <w:pPr>
              <w:pStyle w:val="Compact"/>
            </w:pPr>
            <w:r>
              <w:t xml:space="preserve">0,985</w:t>
            </w:r>
          </w:p>
        </w:tc>
        <w:tc>
          <w:tcPr/>
          <w:p>
            <w:pPr>
              <w:pStyle w:val="Compact"/>
            </w:pPr>
            <w:r>
              <w:t xml:space="preserve">1,103</w:t>
            </w:r>
          </w:p>
        </w:tc>
        <w:tc>
          <w:tcPr/>
          <w:p>
            <w:pPr>
              <w:pStyle w:val="Compact"/>
            </w:pPr>
            <w:r>
              <w:t xml:space="preserve">-</w:t>
            </w:r>
          </w:p>
        </w:tc>
      </w:tr>
      <w:tr>
        <w:tc>
          <w:tcPr/>
          <w:p>
            <w:pPr>
              <w:pStyle w:val="Compact"/>
            </w:pPr>
            <w:r>
              <w:t xml:space="preserve">LSTM global 9 villes</w:t>
            </w:r>
          </w:p>
        </w:tc>
        <w:tc>
          <w:tcPr/>
          <w:p>
            <w:pPr>
              <w:pStyle w:val="Compact"/>
            </w:pPr>
            <w:r>
              <w:t xml:space="preserve">ex ante</w:t>
            </w:r>
          </w:p>
        </w:tc>
        <w:tc>
          <w:tcPr/>
          <w:p>
            <w:pPr>
              <w:pStyle w:val="Compact"/>
            </w:pPr>
            <w:r>
              <w:t xml:space="preserve">1,162</w:t>
            </w:r>
          </w:p>
        </w:tc>
        <w:tc>
          <w:tcPr/>
          <w:p>
            <w:pPr>
              <w:pStyle w:val="Compact"/>
            </w:pPr>
            <w:r>
              <w:t xml:space="preserve">1,078</w:t>
            </w:r>
          </w:p>
        </w:tc>
        <w:tc>
          <w:tcPr/>
          <w:p>
            <w:pPr>
              <w:pStyle w:val="Compact"/>
            </w:pPr>
            <w:r>
              <w:t xml:space="preserve">0,829</w:t>
            </w:r>
          </w:p>
        </w:tc>
        <w:tc>
          <w:tcPr/>
          <w:p>
            <w:pPr>
              <w:pStyle w:val="Compact"/>
            </w:pPr>
            <w:r>
              <w:t xml:space="preserve">29,4 %</w:t>
            </w:r>
          </w:p>
        </w:tc>
        <w:tc>
          <w:tcPr/>
          <w:p>
            <w:pPr>
              <w:pStyle w:val="Compact"/>
            </w:pPr>
            <w:r>
              <w:t xml:space="preserve">18,5 %</w:t>
            </w:r>
          </w:p>
        </w:tc>
        <w:tc>
          <w:tcPr/>
          <w:p>
            <w:pPr>
              <w:pStyle w:val="Compact"/>
            </w:pPr>
            <w:r>
              <w:t xml:space="preserve">0,989</w:t>
            </w:r>
          </w:p>
        </w:tc>
        <w:tc>
          <w:tcPr/>
          <w:p>
            <w:pPr>
              <w:pStyle w:val="Compact"/>
            </w:pPr>
            <w:r>
              <w:t xml:space="preserve">1,094</w:t>
            </w:r>
          </w:p>
        </w:tc>
        <w:tc>
          <w:tcPr/>
          <w:p>
            <w:pPr>
              <w:pStyle w:val="Compact"/>
            </w:pPr>
            <w:r>
              <w:t xml:space="preserve">-</w:t>
            </w:r>
          </w:p>
        </w:tc>
      </w:tr>
      <w:tr>
        <w:tc>
          <w:tcPr/>
          <w:p>
            <w:pPr>
              <w:pStyle w:val="Compact"/>
            </w:pPr>
            <w:r>
              <w:t xml:space="preserve">SARIMAX météo</w:t>
            </w:r>
          </w:p>
        </w:tc>
        <w:tc>
          <w:tcPr/>
          <w:p>
            <w:pPr>
              <w:pStyle w:val="Compact"/>
            </w:pPr>
            <w:r>
              <w:t xml:space="preserve">ex post</w:t>
            </w:r>
          </w:p>
        </w:tc>
        <w:tc>
          <w:tcPr/>
          <w:p>
            <w:pPr>
              <w:pStyle w:val="Compact"/>
            </w:pPr>
            <w:r>
              <w:t xml:space="preserve">0,526</w:t>
            </w:r>
          </w:p>
        </w:tc>
        <w:tc>
          <w:tcPr/>
          <w:p>
            <w:pPr>
              <w:pStyle w:val="Compact"/>
            </w:pPr>
            <w:r>
              <w:t xml:space="preserve">0,725</w:t>
            </w:r>
          </w:p>
        </w:tc>
        <w:tc>
          <w:tcPr/>
          <w:p>
            <w:pPr>
              <w:pStyle w:val="Compact"/>
            </w:pPr>
            <w:r>
              <w:t xml:space="preserve">0,550</w:t>
            </w:r>
          </w:p>
        </w:tc>
        <w:tc>
          <w:tcPr/>
          <w:p>
            <w:pPr>
              <w:pStyle w:val="Compact"/>
            </w:pPr>
            <w:r>
              <w:t xml:space="preserve">17,2 %</w:t>
            </w:r>
          </w:p>
        </w:tc>
        <w:tc>
          <w:tcPr/>
          <w:p>
            <w:pPr>
              <w:pStyle w:val="Compact"/>
            </w:pPr>
            <w:r>
              <w:t xml:space="preserve">12,3 %</w:t>
            </w:r>
          </w:p>
        </w:tc>
        <w:tc>
          <w:tcPr/>
          <w:p>
            <w:pPr>
              <w:pStyle w:val="Compact"/>
            </w:pPr>
            <w:r>
              <w:t xml:space="preserve">0,713</w:t>
            </w:r>
          </w:p>
        </w:tc>
        <w:tc>
          <w:tcPr/>
          <w:p>
            <w:pPr>
              <w:pStyle w:val="Compact"/>
            </w:pPr>
            <w:r>
              <w:t xml:space="preserve">0,727</w:t>
            </w:r>
          </w:p>
        </w:tc>
        <w:tc>
          <w:tcPr/>
          <w:p>
            <w:pPr>
              <w:pStyle w:val="Compact"/>
            </w:pPr>
            <w:r>
              <w:t xml:space="preserve">95,2 %</w:t>
            </w:r>
          </w:p>
        </w:tc>
      </w:tr>
      <w:tr>
        <w:tc>
          <w:tcPr/>
          <w:p>
            <w:pPr>
              <w:pStyle w:val="Compact"/>
            </w:pPr>
            <w:r>
              <w:t xml:space="preserve">LSTM</w:t>
            </w:r>
          </w:p>
        </w:tc>
        <w:tc>
          <w:tcPr/>
          <w:p>
            <w:pPr>
              <w:pStyle w:val="Compact"/>
            </w:pPr>
            <w:r>
              <w:t xml:space="preserve">ex post</w:t>
            </w:r>
          </w:p>
        </w:tc>
        <w:tc>
          <w:tcPr/>
          <w:p>
            <w:pPr>
              <w:pStyle w:val="Compact"/>
            </w:pPr>
            <w:r>
              <w:t xml:space="preserve">0,489</w:t>
            </w:r>
          </w:p>
        </w:tc>
        <w:tc>
          <w:tcPr/>
          <w:p>
            <w:pPr>
              <w:pStyle w:val="Compact"/>
            </w:pPr>
            <w:r>
              <w:t xml:space="preserve">0,699</w:t>
            </w:r>
          </w:p>
        </w:tc>
        <w:tc>
          <w:tcPr/>
          <w:p>
            <w:pPr>
              <w:pStyle w:val="Compact"/>
            </w:pPr>
            <w:r>
              <w:t xml:space="preserve">0,503</w:t>
            </w:r>
          </w:p>
        </w:tc>
        <w:tc>
          <w:tcPr/>
          <w:p>
            <w:pPr>
              <w:pStyle w:val="Compact"/>
            </w:pPr>
            <w:r>
              <w:t xml:space="preserve">15,9 %</w:t>
            </w:r>
          </w:p>
        </w:tc>
        <w:tc>
          <w:tcPr/>
          <w:p>
            <w:pPr>
              <w:pStyle w:val="Compact"/>
            </w:pPr>
            <w:r>
              <w:t xml:space="preserve">11,2 %</w:t>
            </w:r>
          </w:p>
        </w:tc>
        <w:tc>
          <w:tcPr/>
          <w:p>
            <w:pPr>
              <w:pStyle w:val="Compact"/>
            </w:pPr>
            <w:r>
              <w:t xml:space="preserve">0,701</w:t>
            </w:r>
          </w:p>
        </w:tc>
        <w:tc>
          <w:tcPr/>
          <w:p>
            <w:pPr>
              <w:pStyle w:val="Compact"/>
            </w:pPr>
            <w:r>
              <w:t xml:space="preserve">0,701</w:t>
            </w:r>
          </w:p>
        </w:tc>
        <w:tc>
          <w:tcPr/>
          <w:p>
            <w:pPr>
              <w:pStyle w:val="Compact"/>
            </w:pPr>
            <w:r>
              <w:t xml:space="preserve">-</w:t>
            </w:r>
          </w:p>
        </w:tc>
      </w:tr>
      <w:tr>
        <w:tc>
          <w:tcPr/>
          <w:p>
            <w:pPr>
              <w:pStyle w:val="Compact"/>
            </w:pPr>
            <w:r>
              <w:t xml:space="preserve">GRU</w:t>
            </w:r>
          </w:p>
        </w:tc>
        <w:tc>
          <w:tcPr/>
          <w:p>
            <w:pPr>
              <w:pStyle w:val="Compact"/>
            </w:pPr>
            <w:r>
              <w:t xml:space="preserve">ex post</w:t>
            </w:r>
          </w:p>
        </w:tc>
        <w:tc>
          <w:tcPr/>
          <w:p>
            <w:pPr>
              <w:pStyle w:val="Compact"/>
            </w:pPr>
            <w:r>
              <w:t xml:space="preserve">0,509</w:t>
            </w:r>
          </w:p>
        </w:tc>
        <w:tc>
          <w:tcPr/>
          <w:p>
            <w:pPr>
              <w:pStyle w:val="Compact"/>
            </w:pPr>
            <w:r>
              <w:t xml:space="preserve">0,713</w:t>
            </w:r>
          </w:p>
        </w:tc>
        <w:tc>
          <w:tcPr/>
          <w:p>
            <w:pPr>
              <w:pStyle w:val="Compact"/>
            </w:pPr>
            <w:r>
              <w:t xml:space="preserve">0,515</w:t>
            </w:r>
          </w:p>
        </w:tc>
        <w:tc>
          <w:tcPr/>
          <w:p>
            <w:pPr>
              <w:pStyle w:val="Compact"/>
            </w:pPr>
            <w:r>
              <w:t xml:space="preserve">15,5 %</w:t>
            </w:r>
          </w:p>
        </w:tc>
        <w:tc>
          <w:tcPr/>
          <w:p>
            <w:pPr>
              <w:pStyle w:val="Compact"/>
            </w:pPr>
            <w:r>
              <w:t xml:space="preserve">11,5 %</w:t>
            </w:r>
          </w:p>
        </w:tc>
        <w:tc>
          <w:tcPr/>
          <w:p>
            <w:pPr>
              <w:pStyle w:val="Compact"/>
            </w:pPr>
            <w:r>
              <w:t xml:space="preserve">0,714</w:t>
            </w:r>
          </w:p>
        </w:tc>
        <w:tc>
          <w:tcPr/>
          <w:p>
            <w:pPr>
              <w:pStyle w:val="Compact"/>
            </w:pPr>
            <w:r>
              <w:t xml:space="preserve">0,717</w:t>
            </w:r>
          </w:p>
        </w:tc>
        <w:tc>
          <w:tcPr/>
          <w:p>
            <w:pPr>
              <w:pStyle w:val="Compact"/>
            </w:pPr>
            <w:r>
              <w:t xml:space="preserve">-</w:t>
            </w:r>
          </w:p>
        </w:tc>
      </w:tr>
    </w:tbl>
    <w:p>
      <w:pPr>
        <w:pStyle w:val="CaptionedFigure"/>
      </w:pPr>
      <w:r>
        <w:drawing>
          <wp:inline>
            <wp:extent cx="5334000" cy="1801888"/>
            <wp:effectExtent b="0" l="0" r="0" t="0"/>
            <wp:docPr descr="RMSE par horizon" title="" id="76" name="Picture"/>
            <a:graphic>
              <a:graphicData uri="http://schemas.openxmlformats.org/drawingml/2006/picture">
                <pic:pic>
                  <pic:nvPicPr>
                    <pic:cNvPr descr="../figures/15_rmse_par_horizon.png" id="77" name="Picture"/>
                    <pic:cNvPicPr>
                      <a:picLocks noChangeArrowheads="1" noChangeAspect="1"/>
                    </pic:cNvPicPr>
                  </pic:nvPicPr>
                  <pic:blipFill>
                    <a:blip r:embed="rId75"/>
                    <a:stretch>
                      <a:fillRect/>
                    </a:stretch>
                  </pic:blipFill>
                  <pic:spPr bwMode="auto">
                    <a:xfrm>
                      <a:off x="0" y="0"/>
                      <a:ext cx="5334000" cy="1801888"/>
                    </a:xfrm>
                    <a:prstGeom prst="rect">
                      <a:avLst/>
                    </a:prstGeom>
                    <a:noFill/>
                    <a:ln w="9525">
                      <a:noFill/>
                      <a:headEnd/>
                      <a:tailEnd/>
                    </a:ln>
                  </pic:spPr>
                </pic:pic>
              </a:graphicData>
            </a:graphic>
          </wp:inline>
        </w:drawing>
      </w:r>
    </w:p>
    <w:p>
      <w:pPr>
        <w:pStyle w:val="ImageCaption"/>
      </w:pPr>
      <w:r>
        <w:t xml:space="preserve">RMSE par horizon</w:t>
      </w:r>
    </w:p>
    <w:p>
      <w:pPr>
        <w:pStyle w:val="Compact"/>
        <w:numPr>
          <w:ilvl w:val="0"/>
          <w:numId w:val="1013"/>
        </w:numPr>
      </w:pPr>
      <w:r>
        <w:rPr>
          <w:b/>
          <w:bCs/>
        </w:rPr>
        <w:t xml:space="preserve">Ex ante, tous les modèles se tiennent dans un mouchoir :</w:t>
      </w:r>
      <w:r>
        <w:t xml:space="preserve"> </w:t>
      </w:r>
      <w:r>
        <w:t xml:space="preserve">de 1,078 (LSTM global) à 1,097 (Prophet), contre 1,100 pour la climatologie et 1,434 pour la persistance. Le gain est concentré sur un ou deux jours (7 à 10 % à un jour) ; dès le troisième jour, tous les modèles rejoignent la normale : c’est la conséquence de l’AR(1) faible de la section 3.3.</w:t>
      </w:r>
    </w:p>
    <w:p>
      <w:pPr>
        <w:pStyle w:val="Compact"/>
        <w:numPr>
          <w:ilvl w:val="0"/>
          <w:numId w:val="1013"/>
        </w:numPr>
      </w:pPr>
      <w:r>
        <w:rPr>
          <w:b/>
          <w:bCs/>
        </w:rPr>
        <w:t xml:space="preserve">Avec la météo observée, l’erreur baisse d’un tiers</w:t>
      </w:r>
      <w:r>
        <w:t xml:space="preserve"> </w:t>
      </w:r>
      <w:r>
        <w:t xml:space="preserve">et reste stable à tous les horizons. Borne optimiste : une vraie prévision météo est imparfaite.</w:t>
      </w:r>
    </w:p>
    <w:p>
      <w:pPr>
        <w:pStyle w:val="Compact"/>
        <w:numPr>
          <w:ilvl w:val="0"/>
          <w:numId w:val="1013"/>
        </w:numPr>
      </w:pPr>
      <w:r>
        <w:rPr>
          <w:b/>
          <w:bCs/>
        </w:rPr>
        <w:t xml:space="preserve">MAPE de 30 %</w:t>
      </w:r>
      <w:r>
        <w:t xml:space="preserve"> </w:t>
      </w:r>
      <w:r>
        <w:t xml:space="preserve">pour la climatologie : il est gonflé par les journées très couvertes ; le WAPE (19 %) est plus représentatif.</w:t>
      </w:r>
    </w:p>
    <w:p>
      <w:pPr>
        <w:pStyle w:val="Compact"/>
        <w:numPr>
          <w:ilvl w:val="0"/>
          <w:numId w:val="1013"/>
        </w:numPr>
      </w:pPr>
      <w:r>
        <w:rPr>
          <w:b/>
          <w:bCs/>
        </w:rPr>
        <w:t xml:space="preserve">Intervalles :</w:t>
      </w:r>
      <w:r>
        <w:t xml:space="preserve"> </w:t>
      </w:r>
      <w:r>
        <w:t xml:space="preserve">couverture moyenne de 95 % pour l’ARIMA, le VAR et le SARIMAX, mais 93,5 % de novembre à mars contre 95,9 % d’avril à octobre pour l’ARIMA (92,6 % et 96,8 % pour le SARIMAX) : c’est le défaut de variance constante de la section 4.3.</w:t>
      </w:r>
    </w:p>
    <w:p>
      <w:pPr>
        <w:pStyle w:val="TableCaption"/>
      </w:pPr>
      <w:r>
        <w:t xml:space="preserve">Complexité, coût de calcul et interprétabilité.</w:t>
      </w:r>
    </w:p>
    <w:tbl>
      <w:tblPr>
        <w:tblStyle w:val="Table"/>
        <w:tblW w:type="pct" w:w="5000"/>
        <w:tblLayout w:type="fixed"/>
        <w:tblLook w:firstRow="1" w:lastRow="0" w:firstColumn="0" w:lastColumn="0" w:noHBand="0" w:noVBand="0" w:val="0020"/>
        <w:tblCaption w:val="Complexité, coût de calcul et interprétabilité."/>
      </w:tblPr>
      <w:tblGrid>
        <w:gridCol w:w="1584"/>
        <w:gridCol w:w="1584"/>
        <w:gridCol w:w="1584"/>
        <w:gridCol w:w="1584"/>
        <w:gridCol w:w="1584"/>
      </w:tblGrid>
      <w:tr>
        <w:trPr>
          <w:tblHeader w:val="on"/>
        </w:trPr>
        <w:tc>
          <w:tcPr/>
          <w:p>
            <w:pPr>
              <w:pStyle w:val="Compact"/>
            </w:pPr>
            <w:r>
              <w:t xml:space="preserve">Modèle</w:t>
            </w:r>
          </w:p>
        </w:tc>
        <w:tc>
          <w:tcPr/>
          <w:p>
            <w:pPr>
              <w:pStyle w:val="Compact"/>
            </w:pPr>
            <w:r>
              <w:t xml:space="preserve">Famille</w:t>
            </w:r>
          </w:p>
        </w:tc>
        <w:tc>
          <w:tcPr/>
          <w:p>
            <w:pPr>
              <w:pStyle w:val="Compact"/>
            </w:pPr>
            <w:r>
              <w:t xml:space="preserve">Paramètres</w:t>
            </w:r>
          </w:p>
        </w:tc>
        <w:tc>
          <w:tcPr/>
          <w:p>
            <w:pPr>
              <w:pStyle w:val="Compact"/>
            </w:pPr>
            <w:r>
              <w:t xml:space="preserve">Durée d’ajustement</w:t>
            </w:r>
          </w:p>
        </w:tc>
        <w:tc>
          <w:tcPr/>
          <w:p>
            <w:pPr>
              <w:pStyle w:val="Compact"/>
            </w:pPr>
            <w:r>
              <w:t xml:space="preserve">Interprétabilité</w:t>
            </w:r>
          </w:p>
        </w:tc>
      </w:tr>
      <w:tr>
        <w:tc>
          <w:tcPr/>
          <w:p>
            <w:pPr>
              <w:pStyle w:val="Compact"/>
            </w:pPr>
            <w:r>
              <w:t xml:space="preserve">Persistance (J)</w:t>
            </w:r>
          </w:p>
        </w:tc>
        <w:tc>
          <w:tcPr/>
          <w:p>
            <w:pPr>
              <w:pStyle w:val="Compact"/>
            </w:pPr>
            <w:r>
              <w:t xml:space="preserve">référence</w:t>
            </w:r>
          </w:p>
        </w:tc>
        <w:tc>
          <w:tcPr/>
          <w:p>
            <w:pPr>
              <w:pStyle w:val="Compact"/>
            </w:pPr>
            <w:r>
              <w:t xml:space="preserve">0</w:t>
            </w:r>
          </w:p>
        </w:tc>
        <w:tc>
          <w:tcPr/>
          <w:p>
            <w:pPr>
              <w:pStyle w:val="Compact"/>
            </w:pPr>
            <w:r>
              <w:t xml:space="preserve">0,0 s</w:t>
            </w:r>
          </w:p>
        </w:tc>
        <w:tc>
          <w:tcPr/>
          <w:p>
            <w:pPr>
              <w:pStyle w:val="Compact"/>
            </w:pPr>
            <w:r>
              <w:t xml:space="preserve">totale</w:t>
            </w:r>
          </w:p>
        </w:tc>
      </w:tr>
      <w:tr>
        <w:tc>
          <w:tcPr/>
          <w:p>
            <w:pPr>
              <w:pStyle w:val="Compact"/>
            </w:pPr>
            <w:r>
              <w:t xml:space="preserve">Climatologie</w:t>
            </w:r>
          </w:p>
        </w:tc>
        <w:tc>
          <w:tcPr/>
          <w:p>
            <w:pPr>
              <w:pStyle w:val="Compact"/>
            </w:pPr>
            <w:r>
              <w:t xml:space="preserve">référence</w:t>
            </w:r>
          </w:p>
        </w:tc>
        <w:tc>
          <w:tcPr/>
          <w:p>
            <w:pPr>
              <w:pStyle w:val="Compact"/>
            </w:pPr>
            <w:r>
              <w:t xml:space="preserve">730</w:t>
            </w:r>
          </w:p>
        </w:tc>
        <w:tc>
          <w:tcPr/>
          <w:p>
            <w:pPr>
              <w:pStyle w:val="Compact"/>
            </w:pPr>
            <w:r>
              <w:t xml:space="preserve">0,0 s</w:t>
            </w:r>
          </w:p>
        </w:tc>
        <w:tc>
          <w:tcPr/>
          <w:p>
            <w:pPr>
              <w:pStyle w:val="Compact"/>
            </w:pPr>
            <w:r>
              <w:t xml:space="preserve">totale</w:t>
            </w:r>
          </w:p>
        </w:tc>
      </w:tr>
      <w:tr>
        <w:tc>
          <w:tcPr/>
          <w:p>
            <w:pPr>
              <w:pStyle w:val="Compact"/>
            </w:pPr>
            <w:r>
              <w:t xml:space="preserve">ARIMA-Fourier manuel</w:t>
            </w:r>
          </w:p>
        </w:tc>
        <w:tc>
          <w:tcPr/>
          <w:p>
            <w:pPr>
              <w:pStyle w:val="Compact"/>
            </w:pPr>
            <w:r>
              <w:t xml:space="preserve">classique</w:t>
            </w:r>
          </w:p>
        </w:tc>
        <w:tc>
          <w:tcPr/>
          <w:p>
            <w:pPr>
              <w:pStyle w:val="Compact"/>
            </w:pPr>
            <w:r>
              <w:t xml:space="preserve">7</w:t>
            </w:r>
          </w:p>
        </w:tc>
        <w:tc>
          <w:tcPr/>
          <w:p>
            <w:pPr>
              <w:pStyle w:val="Compact"/>
            </w:pPr>
            <w:r>
              <w:t xml:space="preserve">0,2 s</w:t>
            </w:r>
          </w:p>
        </w:tc>
        <w:tc>
          <w:tcPr/>
          <w:p>
            <w:pPr>
              <w:pStyle w:val="Compact"/>
            </w:pPr>
            <w:r>
              <w:t xml:space="preserve">élevée (coefficients testables)</w:t>
            </w:r>
          </w:p>
        </w:tc>
      </w:tr>
      <w:tr>
        <w:tc>
          <w:tcPr/>
          <w:p>
            <w:pPr>
              <w:pStyle w:val="Compact"/>
            </w:pPr>
            <w:r>
              <w:t xml:space="preserve">ARIMA-Fourier auto</w:t>
            </w:r>
          </w:p>
        </w:tc>
        <w:tc>
          <w:tcPr/>
          <w:p>
            <w:pPr>
              <w:pStyle w:val="Compact"/>
            </w:pPr>
            <w:r>
              <w:t xml:space="preserve">classique</w:t>
            </w:r>
          </w:p>
        </w:tc>
        <w:tc>
          <w:tcPr/>
          <w:p>
            <w:pPr>
              <w:pStyle w:val="Compact"/>
            </w:pPr>
            <w:r>
              <w:t xml:space="preserve">7</w:t>
            </w:r>
          </w:p>
        </w:tc>
        <w:tc>
          <w:tcPr/>
          <w:p>
            <w:pPr>
              <w:pStyle w:val="Compact"/>
            </w:pPr>
            <w:r>
              <w:t xml:space="preserve">0,0 s</w:t>
            </w:r>
          </w:p>
        </w:tc>
        <w:tc>
          <w:tcPr/>
          <w:p>
            <w:pPr>
              <w:pStyle w:val="Compact"/>
            </w:pPr>
            <w:r>
              <w:t xml:space="preserve">élevée (coefficients testables)</w:t>
            </w:r>
          </w:p>
        </w:tc>
      </w:tr>
      <w:tr>
        <w:tc>
          <w:tcPr/>
          <w:p>
            <w:pPr>
              <w:pStyle w:val="Compact"/>
            </w:pPr>
            <w:r>
              <w:t xml:space="preserve">VAR</w:t>
            </w:r>
          </w:p>
        </w:tc>
        <w:tc>
          <w:tcPr/>
          <w:p>
            <w:pPr>
              <w:pStyle w:val="Compact"/>
            </w:pPr>
            <w:r>
              <w:t xml:space="preserve">classique</w:t>
            </w:r>
          </w:p>
        </w:tc>
        <w:tc>
          <w:tcPr/>
          <w:p>
            <w:pPr>
              <w:pStyle w:val="Compact"/>
            </w:pPr>
            <w:r>
              <w:t xml:space="preserve">48</w:t>
            </w:r>
          </w:p>
        </w:tc>
        <w:tc>
          <w:tcPr/>
          <w:p>
            <w:pPr>
              <w:pStyle w:val="Compact"/>
            </w:pPr>
            <w:r>
              <w:t xml:space="preserve">0,1 s</w:t>
            </w:r>
          </w:p>
        </w:tc>
        <w:tc>
          <w:tcPr/>
          <w:p>
            <w:pPr>
              <w:pStyle w:val="Compact"/>
            </w:pPr>
            <w:r>
              <w:t xml:space="preserve">élevée (coefficients testables)</w:t>
            </w:r>
          </w:p>
        </w:tc>
      </w:tr>
      <w:tr>
        <w:tc>
          <w:tcPr/>
          <w:p>
            <w:pPr>
              <w:pStyle w:val="Compact"/>
            </w:pPr>
            <w:r>
              <w:t xml:space="preserve">Prophet</w:t>
            </w:r>
          </w:p>
        </w:tc>
        <w:tc>
          <w:tcPr/>
          <w:p>
            <w:pPr>
              <w:pStyle w:val="Compact"/>
            </w:pPr>
            <w:r>
              <w:t xml:space="preserve">additionnel</w:t>
            </w:r>
          </w:p>
        </w:tc>
        <w:tc>
          <w:tcPr/>
          <w:p>
            <w:pPr>
              <w:pStyle w:val="Compact"/>
            </w:pPr>
            <w:r>
              <w:t xml:space="preserve">48</w:t>
            </w:r>
          </w:p>
        </w:tc>
        <w:tc>
          <w:tcPr/>
          <w:p>
            <w:pPr>
              <w:pStyle w:val="Compact"/>
            </w:pPr>
            <w:r>
              <w:t xml:space="preserve">1,7 s</w:t>
            </w:r>
          </w:p>
        </w:tc>
        <w:tc>
          <w:tcPr/>
          <w:p>
            <w:pPr>
              <w:pStyle w:val="Compact"/>
            </w:pPr>
            <w:r>
              <w:t xml:space="preserve">moyenne</w:t>
            </w:r>
          </w:p>
        </w:tc>
      </w:tr>
      <w:tr>
        <w:tc>
          <w:tcPr/>
          <w:p>
            <w:pPr>
              <w:pStyle w:val="Compact"/>
            </w:pPr>
            <w:r>
              <w:t xml:space="preserve">LSTM</w:t>
            </w:r>
          </w:p>
        </w:tc>
        <w:tc>
          <w:tcPr/>
          <w:p>
            <w:pPr>
              <w:pStyle w:val="Compact"/>
            </w:pPr>
            <w:r>
              <w:t xml:space="preserve">neuronal</w:t>
            </w:r>
          </w:p>
        </w:tc>
        <w:tc>
          <w:tcPr/>
          <w:p>
            <w:pPr>
              <w:pStyle w:val="Compact"/>
            </w:pPr>
            <w:r>
              <w:t xml:space="preserve">24 711</w:t>
            </w:r>
          </w:p>
        </w:tc>
        <w:tc>
          <w:tcPr/>
          <w:p>
            <w:pPr>
              <w:pStyle w:val="Compact"/>
            </w:pPr>
            <w:r>
              <w:t xml:space="preserve">6,9 s</w:t>
            </w:r>
          </w:p>
        </w:tc>
        <w:tc>
          <w:tcPr/>
          <w:p>
            <w:pPr>
              <w:pStyle w:val="Compact"/>
            </w:pPr>
            <w:r>
              <w:t xml:space="preserve">faible (boîte noire)</w:t>
            </w:r>
          </w:p>
        </w:tc>
      </w:tr>
      <w:tr>
        <w:tc>
          <w:tcPr/>
          <w:p>
            <w:pPr>
              <w:pStyle w:val="Compact"/>
            </w:pPr>
            <w:r>
              <w:t xml:space="preserve">GRU</w:t>
            </w:r>
          </w:p>
        </w:tc>
        <w:tc>
          <w:tcPr/>
          <w:p>
            <w:pPr>
              <w:pStyle w:val="Compact"/>
            </w:pPr>
            <w:r>
              <w:t xml:space="preserve">neuronal</w:t>
            </w:r>
          </w:p>
        </w:tc>
        <w:tc>
          <w:tcPr/>
          <w:p>
            <w:pPr>
              <w:pStyle w:val="Compact"/>
            </w:pPr>
            <w:r>
              <w:t xml:space="preserve">19 911</w:t>
            </w:r>
          </w:p>
        </w:tc>
        <w:tc>
          <w:tcPr/>
          <w:p>
            <w:pPr>
              <w:pStyle w:val="Compact"/>
            </w:pPr>
            <w:r>
              <w:t xml:space="preserve">5,4 s</w:t>
            </w:r>
          </w:p>
        </w:tc>
        <w:tc>
          <w:tcPr/>
          <w:p>
            <w:pPr>
              <w:pStyle w:val="Compact"/>
            </w:pPr>
            <w:r>
              <w:t xml:space="preserve">faible (boîte noire)</w:t>
            </w:r>
          </w:p>
        </w:tc>
      </w:tr>
      <w:tr>
        <w:tc>
          <w:tcPr/>
          <w:p>
            <w:pPr>
              <w:pStyle w:val="Compact"/>
            </w:pPr>
            <w:r>
              <w:t xml:space="preserve">Hybride ARIMA + LSTM</w:t>
            </w:r>
          </w:p>
        </w:tc>
        <w:tc>
          <w:tcPr/>
          <w:p>
            <w:pPr>
              <w:pStyle w:val="Compact"/>
            </w:pPr>
            <w:r>
              <w:t xml:space="preserve">hybride</w:t>
            </w:r>
          </w:p>
        </w:tc>
        <w:tc>
          <w:tcPr/>
          <w:p>
            <w:pPr>
              <w:pStyle w:val="Compact"/>
            </w:pPr>
            <w:r>
              <w:t xml:space="preserve">24 718</w:t>
            </w:r>
          </w:p>
        </w:tc>
        <w:tc>
          <w:tcPr/>
          <w:p>
            <w:pPr>
              <w:pStyle w:val="Compact"/>
            </w:pPr>
            <w:r>
              <w:t xml:space="preserve">3,2 s</w:t>
            </w:r>
          </w:p>
        </w:tc>
        <w:tc>
          <w:tcPr/>
          <w:p>
            <w:pPr>
              <w:pStyle w:val="Compact"/>
            </w:pPr>
            <w:r>
              <w:t xml:space="preserve">moyenne</w:t>
            </w:r>
          </w:p>
        </w:tc>
      </w:tr>
      <w:tr>
        <w:tc>
          <w:tcPr/>
          <w:p>
            <w:pPr>
              <w:pStyle w:val="Compact"/>
            </w:pPr>
            <w:r>
              <w:t xml:space="preserve">XGBoost direct</w:t>
            </w:r>
          </w:p>
        </w:tc>
        <w:tc>
          <w:tcPr/>
          <w:p>
            <w:pPr>
              <w:pStyle w:val="Compact"/>
            </w:pPr>
            <w:r>
              <w:t xml:space="preserve">additionnel</w:t>
            </w:r>
          </w:p>
        </w:tc>
        <w:tc>
          <w:tcPr/>
          <w:p>
            <w:pPr>
              <w:pStyle w:val="Compact"/>
            </w:pPr>
            <w:r>
              <w:t xml:space="preserve">4 200</w:t>
            </w:r>
          </w:p>
        </w:tc>
        <w:tc>
          <w:tcPr/>
          <w:p>
            <w:pPr>
              <w:pStyle w:val="Compact"/>
            </w:pPr>
            <w:r>
              <w:t xml:space="preserve">1,4 s</w:t>
            </w:r>
          </w:p>
        </w:tc>
        <w:tc>
          <w:tcPr/>
          <w:p>
            <w:pPr>
              <w:pStyle w:val="Compact"/>
            </w:pPr>
            <w:r>
              <w:t xml:space="preserve">moyenne</w:t>
            </w:r>
          </w:p>
        </w:tc>
      </w:tr>
      <w:tr>
        <w:tc>
          <w:tcPr/>
          <w:p>
            <w:pPr>
              <w:pStyle w:val="Compact"/>
            </w:pPr>
            <w:r>
              <w:t xml:space="preserve">LSTM global 9 villes</w:t>
            </w:r>
          </w:p>
        </w:tc>
        <w:tc>
          <w:tcPr/>
          <w:p>
            <w:pPr>
              <w:pStyle w:val="Compact"/>
            </w:pPr>
            <w:r>
              <w:t xml:space="preserve">neuronal</w:t>
            </w:r>
          </w:p>
        </w:tc>
        <w:tc>
          <w:tcPr/>
          <w:p>
            <w:pPr>
              <w:pStyle w:val="Compact"/>
            </w:pPr>
            <w:r>
              <w:t xml:space="preserve">24 711</w:t>
            </w:r>
          </w:p>
        </w:tc>
        <w:tc>
          <w:tcPr/>
          <w:p>
            <w:pPr>
              <w:pStyle w:val="Compact"/>
            </w:pPr>
            <w:r>
              <w:t xml:space="preserve">21,5 s</w:t>
            </w:r>
          </w:p>
        </w:tc>
        <w:tc>
          <w:tcPr/>
          <w:p>
            <w:pPr>
              <w:pStyle w:val="Compact"/>
            </w:pPr>
            <w:r>
              <w:t xml:space="preserve">faible (boîte noire)</w:t>
            </w:r>
          </w:p>
        </w:tc>
      </w:tr>
      <w:tr>
        <w:tc>
          <w:tcPr/>
          <w:p>
            <w:pPr>
              <w:pStyle w:val="Compact"/>
            </w:pPr>
            <w:r>
              <w:t xml:space="preserve">SARIMAX météo</w:t>
            </w:r>
          </w:p>
        </w:tc>
        <w:tc>
          <w:tcPr/>
          <w:p>
            <w:pPr>
              <w:pStyle w:val="Compact"/>
            </w:pPr>
            <w:r>
              <w:t xml:space="preserve">classique</w:t>
            </w:r>
          </w:p>
        </w:tc>
        <w:tc>
          <w:tcPr/>
          <w:p>
            <w:pPr>
              <w:pStyle w:val="Compact"/>
            </w:pPr>
            <w:r>
              <w:t xml:space="preserve">13</w:t>
            </w:r>
          </w:p>
        </w:tc>
        <w:tc>
          <w:tcPr/>
          <w:p>
            <w:pPr>
              <w:pStyle w:val="Compact"/>
            </w:pPr>
            <w:r>
              <w:t xml:space="preserve">0,3 s</w:t>
            </w:r>
          </w:p>
        </w:tc>
        <w:tc>
          <w:tcPr/>
          <w:p>
            <w:pPr>
              <w:pStyle w:val="Compact"/>
            </w:pPr>
            <w:r>
              <w:t xml:space="preserve">élevée (coefficients testables)</w:t>
            </w:r>
          </w:p>
        </w:tc>
      </w:tr>
      <w:tr>
        <w:tc>
          <w:tcPr/>
          <w:p>
            <w:pPr>
              <w:pStyle w:val="Compact"/>
            </w:pPr>
            <w:r>
              <w:t xml:space="preserve">LSTM</w:t>
            </w:r>
          </w:p>
        </w:tc>
        <w:tc>
          <w:tcPr/>
          <w:p>
            <w:pPr>
              <w:pStyle w:val="Compact"/>
            </w:pPr>
            <w:r>
              <w:t xml:space="preserve">neuronal</w:t>
            </w:r>
          </w:p>
        </w:tc>
        <w:tc>
          <w:tcPr/>
          <w:p>
            <w:pPr>
              <w:pStyle w:val="Compact"/>
            </w:pPr>
            <w:r>
              <w:t xml:space="preserve">27 399</w:t>
            </w:r>
          </w:p>
        </w:tc>
        <w:tc>
          <w:tcPr/>
          <w:p>
            <w:pPr>
              <w:pStyle w:val="Compact"/>
            </w:pPr>
            <w:r>
              <w:t xml:space="preserve">12,7 s</w:t>
            </w:r>
          </w:p>
        </w:tc>
        <w:tc>
          <w:tcPr/>
          <w:p>
            <w:pPr>
              <w:pStyle w:val="Compact"/>
            </w:pPr>
            <w:r>
              <w:t xml:space="preserve">faible (boîte noire)</w:t>
            </w:r>
          </w:p>
        </w:tc>
      </w:tr>
      <w:tr>
        <w:tc>
          <w:tcPr/>
          <w:p>
            <w:pPr>
              <w:pStyle w:val="Compact"/>
            </w:pPr>
            <w:r>
              <w:t xml:space="preserve">GRU</w:t>
            </w:r>
          </w:p>
        </w:tc>
        <w:tc>
          <w:tcPr/>
          <w:p>
            <w:pPr>
              <w:pStyle w:val="Compact"/>
            </w:pPr>
            <w:r>
              <w:t xml:space="preserve">neuronal</w:t>
            </w:r>
          </w:p>
        </w:tc>
        <w:tc>
          <w:tcPr/>
          <w:p>
            <w:pPr>
              <w:pStyle w:val="Compact"/>
            </w:pPr>
            <w:r>
              <w:t xml:space="preserve">22 599</w:t>
            </w:r>
          </w:p>
        </w:tc>
        <w:tc>
          <w:tcPr/>
          <w:p>
            <w:pPr>
              <w:pStyle w:val="Compact"/>
            </w:pPr>
            <w:r>
              <w:t xml:space="preserve">10,1 s</w:t>
            </w:r>
          </w:p>
        </w:tc>
        <w:tc>
          <w:tcPr/>
          <w:p>
            <w:pPr>
              <w:pStyle w:val="Compact"/>
            </w:pPr>
            <w:r>
              <w:t xml:space="preserve">faible (boîte noire)</w:t>
            </w:r>
          </w:p>
        </w:tc>
      </w:tr>
    </w:tbl>
    <w:p/>
    <w:p>
      <w:pPr>
        <w:pStyle w:val="TableCaption"/>
      </w:pPr>
      <w:r>
        <w:t xml:space="preserve">Tests de Diebold-Mariano (perte quadratique sauf dernière colonne ; DM &gt; 0 : le modèle bat la référence).</w:t>
      </w:r>
    </w:p>
    <w:tbl>
      <w:tblPr>
        <w:tblStyle w:val="Table"/>
        <w:tblW w:type="pct" w:w="5000"/>
        <w:tblLayout w:type="fixed"/>
        <w:tblLook w:firstRow="1" w:lastRow="0" w:firstColumn="0" w:lastColumn="0" w:noHBand="0" w:noVBand="0" w:val="0020"/>
        <w:tblCaption w:val="Tests de Diebold-Mariano (perte quadratique sauf dernière colonne ; DM &gt; 0 : le modèle bat la référence)."/>
      </w:tblPr>
      <w:tblGrid>
        <w:gridCol w:w="1131"/>
        <w:gridCol w:w="1131"/>
        <w:gridCol w:w="1131"/>
        <w:gridCol w:w="1131"/>
        <w:gridCol w:w="1131"/>
        <w:gridCol w:w="1131"/>
        <w:gridCol w:w="1131"/>
      </w:tblGrid>
      <w:tr>
        <w:trPr>
          <w:tblHeader w:val="on"/>
        </w:trPr>
        <w:tc>
          <w:tcPr/>
          <w:p>
            <w:pPr>
              <w:pStyle w:val="Compact"/>
            </w:pPr>
            <w:r>
              <w:t xml:space="preserve">Référence</w:t>
            </w:r>
          </w:p>
        </w:tc>
        <w:tc>
          <w:tcPr/>
          <w:p>
            <w:pPr>
              <w:pStyle w:val="Compact"/>
            </w:pPr>
            <w:r>
              <w:t xml:space="preserve">Modèle</w:t>
            </w:r>
          </w:p>
        </w:tc>
        <w:tc>
          <w:tcPr/>
          <w:p>
            <w:pPr>
              <w:pStyle w:val="Compact"/>
            </w:pPr>
            <w:r>
              <w:t xml:space="preserve">DM h=1</w:t>
            </w:r>
          </w:p>
        </w:tc>
        <w:tc>
          <w:tcPr/>
          <w:p>
            <w:pPr>
              <w:pStyle w:val="Compact"/>
            </w:pPr>
            <w:r>
              <w:t xml:space="preserve">p h=1</w:t>
            </w:r>
          </w:p>
        </w:tc>
        <w:tc>
          <w:tcPr/>
          <w:p>
            <w:pPr>
              <w:pStyle w:val="Compact"/>
            </w:pPr>
            <w:r>
              <w:t xml:space="preserve">DM h=7</w:t>
            </w:r>
          </w:p>
        </w:tc>
        <w:tc>
          <w:tcPr/>
          <w:p>
            <w:pPr>
              <w:pStyle w:val="Compact"/>
            </w:pPr>
            <w:r>
              <w:t xml:space="preserve">p h=7</w:t>
            </w:r>
          </w:p>
        </w:tc>
        <w:tc>
          <w:tcPr/>
          <w:p>
            <w:pPr>
              <w:pStyle w:val="Compact"/>
            </w:pPr>
            <w:r>
              <w:t xml:space="preserve">p h=7 (perte absolue)</w:t>
            </w:r>
          </w:p>
        </w:tc>
      </w:tr>
      <w:tr>
        <w:tc>
          <w:tcPr/>
          <w:p>
            <w:pPr>
              <w:pStyle w:val="Compact"/>
            </w:pPr>
            <w:r>
              <w:t xml:space="preserve">Climatologie</w:t>
            </w:r>
          </w:p>
        </w:tc>
        <w:tc>
          <w:tcPr/>
          <w:p>
            <w:pPr>
              <w:pStyle w:val="Compact"/>
            </w:pPr>
            <w:r>
              <w:t xml:space="preserve">ARIMA-Fourier manuel</w:t>
            </w:r>
          </w:p>
        </w:tc>
        <w:tc>
          <w:tcPr/>
          <w:p>
            <w:pPr>
              <w:pStyle w:val="Compact"/>
            </w:pPr>
            <w:r>
              <w:t xml:space="preserve">5,32</w:t>
            </w:r>
          </w:p>
        </w:tc>
        <w:tc>
          <w:tcPr/>
          <w:p>
            <w:pPr>
              <w:pStyle w:val="Compact"/>
            </w:pPr>
            <w:r>
              <w:t xml:space="preserve">&lt; 0,001</w:t>
            </w:r>
          </w:p>
        </w:tc>
        <w:tc>
          <w:tcPr/>
          <w:p>
            <w:pPr>
              <w:pStyle w:val="Compact"/>
            </w:pPr>
            <w:r>
              <w:t xml:space="preserve">-0,30</w:t>
            </w:r>
          </w:p>
        </w:tc>
        <w:tc>
          <w:tcPr/>
          <w:p>
            <w:pPr>
              <w:pStyle w:val="Compact"/>
            </w:pPr>
            <w:r>
              <w:t xml:space="preserve">0,761</w:t>
            </w:r>
          </w:p>
        </w:tc>
        <w:tc>
          <w:tcPr/>
          <w:p>
            <w:pPr>
              <w:pStyle w:val="Compact"/>
            </w:pPr>
            <w:r>
              <w:t xml:space="preserve">0,547</w:t>
            </w:r>
          </w:p>
        </w:tc>
      </w:tr>
      <w:tr>
        <w:tc>
          <w:tcPr/>
          <w:p>
            <w:pPr>
              <w:pStyle w:val="Compact"/>
            </w:pPr>
            <w:r>
              <w:t xml:space="preserve">Climatologie</w:t>
            </w:r>
          </w:p>
        </w:tc>
        <w:tc>
          <w:tcPr/>
          <w:p>
            <w:pPr>
              <w:pStyle w:val="Compact"/>
            </w:pPr>
            <w:r>
              <w:t xml:space="preserve">ARIMA-Fourier auto</w:t>
            </w:r>
          </w:p>
        </w:tc>
        <w:tc>
          <w:tcPr/>
          <w:p>
            <w:pPr>
              <w:pStyle w:val="Compact"/>
            </w:pPr>
            <w:r>
              <w:t xml:space="preserve">5,32</w:t>
            </w:r>
          </w:p>
        </w:tc>
        <w:tc>
          <w:tcPr/>
          <w:p>
            <w:pPr>
              <w:pStyle w:val="Compact"/>
            </w:pPr>
            <w:r>
              <w:t xml:space="preserve">&lt; 0,001</w:t>
            </w:r>
          </w:p>
        </w:tc>
        <w:tc>
          <w:tcPr/>
          <w:p>
            <w:pPr>
              <w:pStyle w:val="Compact"/>
            </w:pPr>
            <w:r>
              <w:t xml:space="preserve">-0,30</w:t>
            </w:r>
          </w:p>
        </w:tc>
        <w:tc>
          <w:tcPr/>
          <w:p>
            <w:pPr>
              <w:pStyle w:val="Compact"/>
            </w:pPr>
            <w:r>
              <w:t xml:space="preserve">0,761</w:t>
            </w:r>
          </w:p>
        </w:tc>
        <w:tc>
          <w:tcPr/>
          <w:p>
            <w:pPr>
              <w:pStyle w:val="Compact"/>
            </w:pPr>
            <w:r>
              <w:t xml:space="preserve">0,547</w:t>
            </w:r>
          </w:p>
        </w:tc>
      </w:tr>
      <w:tr>
        <w:tc>
          <w:tcPr/>
          <w:p>
            <w:pPr>
              <w:pStyle w:val="Compact"/>
            </w:pPr>
            <w:r>
              <w:t xml:space="preserve">Climatologie</w:t>
            </w:r>
          </w:p>
        </w:tc>
        <w:tc>
          <w:tcPr/>
          <w:p>
            <w:pPr>
              <w:pStyle w:val="Compact"/>
            </w:pPr>
            <w:r>
              <w:t xml:space="preserve">VAR</w:t>
            </w:r>
          </w:p>
        </w:tc>
        <w:tc>
          <w:tcPr/>
          <w:p>
            <w:pPr>
              <w:pStyle w:val="Compact"/>
            </w:pPr>
            <w:r>
              <w:t xml:space="preserve">5,23</w:t>
            </w:r>
          </w:p>
        </w:tc>
        <w:tc>
          <w:tcPr/>
          <w:p>
            <w:pPr>
              <w:pStyle w:val="Compact"/>
            </w:pPr>
            <w:r>
              <w:t xml:space="preserve">&lt; 0,001</w:t>
            </w:r>
          </w:p>
        </w:tc>
        <w:tc>
          <w:tcPr/>
          <w:p>
            <w:pPr>
              <w:pStyle w:val="Compact"/>
            </w:pPr>
            <w:r>
              <w:t xml:space="preserve">0,35</w:t>
            </w:r>
          </w:p>
        </w:tc>
        <w:tc>
          <w:tcPr/>
          <w:p>
            <w:pPr>
              <w:pStyle w:val="Compact"/>
            </w:pPr>
            <w:r>
              <w:t xml:space="preserve">0,727</w:t>
            </w:r>
          </w:p>
        </w:tc>
        <w:tc>
          <w:tcPr/>
          <w:p>
            <w:pPr>
              <w:pStyle w:val="Compact"/>
            </w:pPr>
            <w:r>
              <w:t xml:space="preserve">0,348</w:t>
            </w:r>
          </w:p>
        </w:tc>
      </w:tr>
      <w:tr>
        <w:tc>
          <w:tcPr/>
          <w:p>
            <w:pPr>
              <w:pStyle w:val="Compact"/>
            </w:pPr>
            <w:r>
              <w:t xml:space="preserve">Climatologie</w:t>
            </w:r>
          </w:p>
        </w:tc>
        <w:tc>
          <w:tcPr/>
          <w:p>
            <w:pPr>
              <w:pStyle w:val="Compact"/>
            </w:pPr>
            <w:r>
              <w:t xml:space="preserve">Prophet</w:t>
            </w:r>
          </w:p>
        </w:tc>
        <w:tc>
          <w:tcPr/>
          <w:p>
            <w:pPr>
              <w:pStyle w:val="Compact"/>
            </w:pPr>
            <w:r>
              <w:t xml:space="preserve">1,11</w:t>
            </w:r>
          </w:p>
        </w:tc>
        <w:tc>
          <w:tcPr/>
          <w:p>
            <w:pPr>
              <w:pStyle w:val="Compact"/>
            </w:pPr>
            <w:r>
              <w:t xml:space="preserve">0,268</w:t>
            </w:r>
          </w:p>
        </w:tc>
        <w:tc>
          <w:tcPr/>
          <w:p>
            <w:pPr>
              <w:pStyle w:val="Compact"/>
            </w:pPr>
            <w:r>
              <w:t xml:space="preserve">0,48</w:t>
            </w:r>
          </w:p>
        </w:tc>
        <w:tc>
          <w:tcPr/>
          <w:p>
            <w:pPr>
              <w:pStyle w:val="Compact"/>
            </w:pPr>
            <w:r>
              <w:t xml:space="preserve">0,632</w:t>
            </w:r>
          </w:p>
        </w:tc>
        <w:tc>
          <w:tcPr/>
          <w:p>
            <w:pPr>
              <w:pStyle w:val="Compact"/>
            </w:pPr>
            <w:r>
              <w:t xml:space="preserve">0,001</w:t>
            </w:r>
          </w:p>
        </w:tc>
      </w:tr>
      <w:tr>
        <w:tc>
          <w:tcPr/>
          <w:p>
            <w:pPr>
              <w:pStyle w:val="Compact"/>
            </w:pPr>
            <w:r>
              <w:t xml:space="preserve">Climatologie</w:t>
            </w:r>
          </w:p>
        </w:tc>
        <w:tc>
          <w:tcPr/>
          <w:p>
            <w:pPr>
              <w:pStyle w:val="Compact"/>
            </w:pPr>
            <w:r>
              <w:t xml:space="preserve">LSTM</w:t>
            </w:r>
          </w:p>
        </w:tc>
        <w:tc>
          <w:tcPr/>
          <w:p>
            <w:pPr>
              <w:pStyle w:val="Compact"/>
            </w:pPr>
            <w:r>
              <w:t xml:space="preserve">6,16</w:t>
            </w:r>
          </w:p>
        </w:tc>
        <w:tc>
          <w:tcPr/>
          <w:p>
            <w:pPr>
              <w:pStyle w:val="Compact"/>
            </w:pPr>
            <w:r>
              <w:t xml:space="preserve">&lt; 0,001</w:t>
            </w:r>
          </w:p>
        </w:tc>
        <w:tc>
          <w:tcPr/>
          <w:p>
            <w:pPr>
              <w:pStyle w:val="Compact"/>
            </w:pPr>
            <w:r>
              <w:t xml:space="preserve">-2,82</w:t>
            </w:r>
          </w:p>
        </w:tc>
        <w:tc>
          <w:tcPr/>
          <w:p>
            <w:pPr>
              <w:pStyle w:val="Compact"/>
            </w:pPr>
            <w:r>
              <w:t xml:space="preserve">0,005</w:t>
            </w:r>
          </w:p>
        </w:tc>
        <w:tc>
          <w:tcPr/>
          <w:p>
            <w:pPr>
              <w:pStyle w:val="Compact"/>
            </w:pPr>
            <w:r>
              <w:t xml:space="preserve">&lt; 0,001</w:t>
            </w:r>
          </w:p>
        </w:tc>
      </w:tr>
      <w:tr>
        <w:tc>
          <w:tcPr/>
          <w:p>
            <w:pPr>
              <w:pStyle w:val="Compact"/>
            </w:pPr>
            <w:r>
              <w:t xml:space="preserve">Climatologie</w:t>
            </w:r>
          </w:p>
        </w:tc>
        <w:tc>
          <w:tcPr/>
          <w:p>
            <w:pPr>
              <w:pStyle w:val="Compact"/>
            </w:pPr>
            <w:r>
              <w:t xml:space="preserve">GRU</w:t>
            </w:r>
          </w:p>
        </w:tc>
        <w:tc>
          <w:tcPr/>
          <w:p>
            <w:pPr>
              <w:pStyle w:val="Compact"/>
            </w:pPr>
            <w:r>
              <w:t xml:space="preserve">5,30</w:t>
            </w:r>
          </w:p>
        </w:tc>
        <w:tc>
          <w:tcPr/>
          <w:p>
            <w:pPr>
              <w:pStyle w:val="Compact"/>
            </w:pPr>
            <w:r>
              <w:t xml:space="preserve">&lt; 0,001</w:t>
            </w:r>
          </w:p>
        </w:tc>
        <w:tc>
          <w:tcPr/>
          <w:p>
            <w:pPr>
              <w:pStyle w:val="Compact"/>
            </w:pPr>
            <w:r>
              <w:t xml:space="preserve">-0,79</w:t>
            </w:r>
          </w:p>
        </w:tc>
        <w:tc>
          <w:tcPr/>
          <w:p>
            <w:pPr>
              <w:pStyle w:val="Compact"/>
            </w:pPr>
            <w:r>
              <w:t xml:space="preserve">0,428</w:t>
            </w:r>
          </w:p>
        </w:tc>
        <w:tc>
          <w:tcPr/>
          <w:p>
            <w:pPr>
              <w:pStyle w:val="Compact"/>
            </w:pPr>
            <w:r>
              <w:t xml:space="preserve">0,337</w:t>
            </w:r>
          </w:p>
        </w:tc>
      </w:tr>
      <w:tr>
        <w:tc>
          <w:tcPr/>
          <w:p>
            <w:pPr>
              <w:pStyle w:val="Compact"/>
            </w:pPr>
            <w:r>
              <w:t xml:space="preserve">Climatologie</w:t>
            </w:r>
          </w:p>
        </w:tc>
        <w:tc>
          <w:tcPr/>
          <w:p>
            <w:pPr>
              <w:pStyle w:val="Compact"/>
            </w:pPr>
            <w:r>
              <w:t xml:space="preserve">Hybride ARIMA + LSTM</w:t>
            </w:r>
          </w:p>
        </w:tc>
        <w:tc>
          <w:tcPr/>
          <w:p>
            <w:pPr>
              <w:pStyle w:val="Compact"/>
            </w:pPr>
            <w:r>
              <w:t xml:space="preserve">5,70</w:t>
            </w:r>
          </w:p>
        </w:tc>
        <w:tc>
          <w:tcPr/>
          <w:p>
            <w:pPr>
              <w:pStyle w:val="Compact"/>
            </w:pPr>
            <w:r>
              <w:t xml:space="preserve">&lt; 0,001</w:t>
            </w:r>
          </w:p>
        </w:tc>
        <w:tc>
          <w:tcPr/>
          <w:p>
            <w:pPr>
              <w:pStyle w:val="Compact"/>
            </w:pPr>
            <w:r>
              <w:t xml:space="preserve">-0,88</w:t>
            </w:r>
          </w:p>
        </w:tc>
        <w:tc>
          <w:tcPr/>
          <w:p>
            <w:pPr>
              <w:pStyle w:val="Compact"/>
            </w:pPr>
            <w:r>
              <w:t xml:space="preserve">0,379</w:t>
            </w:r>
          </w:p>
        </w:tc>
        <w:tc>
          <w:tcPr/>
          <w:p>
            <w:pPr>
              <w:pStyle w:val="Compact"/>
            </w:pPr>
            <w:r>
              <w:t xml:space="preserve">0,243</w:t>
            </w:r>
          </w:p>
        </w:tc>
      </w:tr>
      <w:tr>
        <w:tc>
          <w:tcPr/>
          <w:p>
            <w:pPr>
              <w:pStyle w:val="Compact"/>
            </w:pPr>
            <w:r>
              <w:t xml:space="preserve">Climatologie</w:t>
            </w:r>
          </w:p>
        </w:tc>
        <w:tc>
          <w:tcPr/>
          <w:p>
            <w:pPr>
              <w:pStyle w:val="Compact"/>
            </w:pPr>
            <w:r>
              <w:t xml:space="preserve">XGBoost direct</w:t>
            </w:r>
          </w:p>
        </w:tc>
        <w:tc>
          <w:tcPr/>
          <w:p>
            <w:pPr>
              <w:pStyle w:val="Compact"/>
            </w:pPr>
            <w:r>
              <w:t xml:space="preserve">6,02</w:t>
            </w:r>
          </w:p>
        </w:tc>
        <w:tc>
          <w:tcPr/>
          <w:p>
            <w:pPr>
              <w:pStyle w:val="Compact"/>
            </w:pPr>
            <w:r>
              <w:t xml:space="preserve">&lt; 0,001</w:t>
            </w:r>
          </w:p>
        </w:tc>
        <w:tc>
          <w:tcPr/>
          <w:p>
            <w:pPr>
              <w:pStyle w:val="Compact"/>
            </w:pPr>
            <w:r>
              <w:t xml:space="preserve">-0,92</w:t>
            </w:r>
          </w:p>
        </w:tc>
        <w:tc>
          <w:tcPr/>
          <w:p>
            <w:pPr>
              <w:pStyle w:val="Compact"/>
            </w:pPr>
            <w:r>
              <w:t xml:space="preserve">0,356</w:t>
            </w:r>
          </w:p>
        </w:tc>
        <w:tc>
          <w:tcPr/>
          <w:p>
            <w:pPr>
              <w:pStyle w:val="Compact"/>
            </w:pPr>
            <w:r>
              <w:t xml:space="preserve">0,025</w:t>
            </w:r>
          </w:p>
        </w:tc>
      </w:tr>
      <w:tr>
        <w:tc>
          <w:tcPr/>
          <w:p>
            <w:pPr>
              <w:pStyle w:val="Compact"/>
            </w:pPr>
            <w:r>
              <w:t xml:space="preserve">Climatologie</w:t>
            </w:r>
          </w:p>
        </w:tc>
        <w:tc>
          <w:tcPr/>
          <w:p>
            <w:pPr>
              <w:pStyle w:val="Compact"/>
            </w:pPr>
            <w:r>
              <w:t xml:space="preserve">LSTM global 9 villes</w:t>
            </w:r>
          </w:p>
        </w:tc>
        <w:tc>
          <w:tcPr/>
          <w:p>
            <w:pPr>
              <w:pStyle w:val="Compact"/>
            </w:pPr>
            <w:r>
              <w:t xml:space="preserve">6,39</w:t>
            </w:r>
          </w:p>
        </w:tc>
        <w:tc>
          <w:tcPr/>
          <w:p>
            <w:pPr>
              <w:pStyle w:val="Compact"/>
            </w:pPr>
            <w:r>
              <w:t xml:space="preserve">&lt; 0,001</w:t>
            </w:r>
          </w:p>
        </w:tc>
        <w:tc>
          <w:tcPr/>
          <w:p>
            <w:pPr>
              <w:pStyle w:val="Compact"/>
            </w:pPr>
            <w:r>
              <w:t xml:space="preserve">0,98</w:t>
            </w:r>
          </w:p>
        </w:tc>
        <w:tc>
          <w:tcPr/>
          <w:p>
            <w:pPr>
              <w:pStyle w:val="Compact"/>
            </w:pPr>
            <w:r>
              <w:t xml:space="preserve">0,328</w:t>
            </w:r>
          </w:p>
        </w:tc>
        <w:tc>
          <w:tcPr/>
          <w:p>
            <w:pPr>
              <w:pStyle w:val="Compact"/>
            </w:pPr>
            <w:r>
              <w:t xml:space="preserve">0,306</w:t>
            </w:r>
          </w:p>
        </w:tc>
      </w:tr>
      <w:tr>
        <w:tc>
          <w:tcPr/>
          <w:p>
            <w:pPr>
              <w:pStyle w:val="Compact"/>
            </w:pPr>
            <w:r>
              <w:t xml:space="preserve">Climatologie</w:t>
            </w:r>
          </w:p>
        </w:tc>
        <w:tc>
          <w:tcPr/>
          <w:p>
            <w:pPr>
              <w:pStyle w:val="Compact"/>
            </w:pPr>
            <w:r>
              <w:t xml:space="preserve">SARIMAX météo (ex post)</w:t>
            </w:r>
          </w:p>
        </w:tc>
        <w:tc>
          <w:tcPr/>
          <w:p>
            <w:pPr>
              <w:pStyle w:val="Compact"/>
            </w:pPr>
            <w:r>
              <w:t xml:space="preserve">10,16</w:t>
            </w:r>
          </w:p>
        </w:tc>
        <w:tc>
          <w:tcPr/>
          <w:p>
            <w:pPr>
              <w:pStyle w:val="Compact"/>
            </w:pPr>
            <w:r>
              <w:t xml:space="preserve">&lt; 0,001</w:t>
            </w:r>
          </w:p>
        </w:tc>
        <w:tc>
          <w:tcPr/>
          <w:p>
            <w:pPr>
              <w:pStyle w:val="Compact"/>
            </w:pPr>
            <w:r>
              <w:t xml:space="preserve">6,68</w:t>
            </w:r>
          </w:p>
        </w:tc>
        <w:tc>
          <w:tcPr/>
          <w:p>
            <w:pPr>
              <w:pStyle w:val="Compact"/>
            </w:pPr>
            <w:r>
              <w:t xml:space="preserve">&lt; 0,001</w:t>
            </w:r>
          </w:p>
        </w:tc>
        <w:tc>
          <w:tcPr/>
          <w:p>
            <w:pPr>
              <w:pStyle w:val="Compact"/>
            </w:pPr>
            <w:r>
              <w:t xml:space="preserve">&lt; 0,001</w:t>
            </w:r>
          </w:p>
        </w:tc>
      </w:tr>
      <w:tr>
        <w:tc>
          <w:tcPr/>
          <w:p>
            <w:pPr>
              <w:pStyle w:val="Compact"/>
            </w:pPr>
            <w:r>
              <w:t xml:space="preserve">Climatologie</w:t>
            </w:r>
          </w:p>
        </w:tc>
        <w:tc>
          <w:tcPr/>
          <w:p>
            <w:pPr>
              <w:pStyle w:val="Compact"/>
            </w:pPr>
            <w:r>
              <w:t xml:space="preserve">LSTM (ex post)</w:t>
            </w:r>
          </w:p>
        </w:tc>
        <w:tc>
          <w:tcPr/>
          <w:p>
            <w:pPr>
              <w:pStyle w:val="Compact"/>
            </w:pPr>
            <w:r>
              <w:t xml:space="preserve">10,38</w:t>
            </w:r>
          </w:p>
        </w:tc>
        <w:tc>
          <w:tcPr/>
          <w:p>
            <w:pPr>
              <w:pStyle w:val="Compact"/>
            </w:pPr>
            <w:r>
              <w:t xml:space="preserve">&lt; 0,001</w:t>
            </w:r>
          </w:p>
        </w:tc>
        <w:tc>
          <w:tcPr/>
          <w:p>
            <w:pPr>
              <w:pStyle w:val="Compact"/>
            </w:pPr>
            <w:r>
              <w:t xml:space="preserve">7,07</w:t>
            </w:r>
          </w:p>
        </w:tc>
        <w:tc>
          <w:tcPr/>
          <w:p>
            <w:pPr>
              <w:pStyle w:val="Compact"/>
            </w:pPr>
            <w:r>
              <w:t xml:space="preserve">&lt; 0,001</w:t>
            </w:r>
          </w:p>
        </w:tc>
        <w:tc>
          <w:tcPr/>
          <w:p>
            <w:pPr>
              <w:pStyle w:val="Compact"/>
            </w:pPr>
            <w:r>
              <w:t xml:space="preserve">&lt; 0,001</w:t>
            </w:r>
          </w:p>
        </w:tc>
      </w:tr>
      <w:tr>
        <w:tc>
          <w:tcPr/>
          <w:p>
            <w:pPr>
              <w:pStyle w:val="Compact"/>
            </w:pPr>
            <w:r>
              <w:t xml:space="preserve">Climatologie</w:t>
            </w:r>
          </w:p>
        </w:tc>
        <w:tc>
          <w:tcPr/>
          <w:p>
            <w:pPr>
              <w:pStyle w:val="Compact"/>
            </w:pPr>
            <w:r>
              <w:t xml:space="preserve">GRU (ex post)</w:t>
            </w:r>
          </w:p>
        </w:tc>
        <w:tc>
          <w:tcPr/>
          <w:p>
            <w:pPr>
              <w:pStyle w:val="Compact"/>
            </w:pPr>
            <w:r>
              <w:t xml:space="preserve">9,35</w:t>
            </w:r>
          </w:p>
        </w:tc>
        <w:tc>
          <w:tcPr/>
          <w:p>
            <w:pPr>
              <w:pStyle w:val="Compact"/>
            </w:pPr>
            <w:r>
              <w:t xml:space="preserve">&lt; 0,001</w:t>
            </w:r>
          </w:p>
        </w:tc>
        <w:tc>
          <w:tcPr/>
          <w:p>
            <w:pPr>
              <w:pStyle w:val="Compact"/>
            </w:pPr>
            <w:r>
              <w:t xml:space="preserve">6,85</w:t>
            </w:r>
          </w:p>
        </w:tc>
        <w:tc>
          <w:tcPr/>
          <w:p>
            <w:pPr>
              <w:pStyle w:val="Compact"/>
            </w:pPr>
            <w:r>
              <w:t xml:space="preserve">&lt; 0,001</w:t>
            </w:r>
          </w:p>
        </w:tc>
        <w:tc>
          <w:tcPr/>
          <w:p>
            <w:pPr>
              <w:pStyle w:val="Compact"/>
            </w:pPr>
            <w:r>
              <w:t xml:space="preserve">&lt; 0,001</w:t>
            </w:r>
          </w:p>
        </w:tc>
      </w:tr>
      <w:tr>
        <w:tc>
          <w:tcPr/>
          <w:p>
            <w:pPr>
              <w:pStyle w:val="Compact"/>
            </w:pPr>
            <w:r>
              <w:t xml:space="preserve">LSTM global 9 villes</w:t>
            </w:r>
          </w:p>
        </w:tc>
        <w:tc>
          <w:tcPr/>
          <w:p>
            <w:pPr>
              <w:pStyle w:val="Compact"/>
            </w:pPr>
            <w:r>
              <w:t xml:space="preserve">ARIMA-Fourier manuel</w:t>
            </w:r>
          </w:p>
        </w:tc>
        <w:tc>
          <w:tcPr/>
          <w:p>
            <w:pPr>
              <w:pStyle w:val="Compact"/>
            </w:pPr>
            <w:r>
              <w:t xml:space="preserve">-4,27</w:t>
            </w:r>
          </w:p>
        </w:tc>
        <w:tc>
          <w:tcPr/>
          <w:p>
            <w:pPr>
              <w:pStyle w:val="Compact"/>
            </w:pPr>
            <w:r>
              <w:t xml:space="preserve">&lt; 0,001</w:t>
            </w:r>
          </w:p>
        </w:tc>
        <w:tc>
          <w:tcPr/>
          <w:p>
            <w:pPr>
              <w:pStyle w:val="Compact"/>
            </w:pPr>
            <w:r>
              <w:t xml:space="preserve">-0,84</w:t>
            </w:r>
          </w:p>
        </w:tc>
        <w:tc>
          <w:tcPr/>
          <w:p>
            <w:pPr>
              <w:pStyle w:val="Compact"/>
            </w:pPr>
            <w:r>
              <w:t xml:space="preserve">0,402</w:t>
            </w:r>
          </w:p>
        </w:tc>
        <w:tc>
          <w:tcPr/>
          <w:p>
            <w:pPr>
              <w:pStyle w:val="Compact"/>
            </w:pPr>
            <w:r>
              <w:t xml:space="preserve">0,983</w:t>
            </w:r>
          </w:p>
        </w:tc>
      </w:tr>
      <w:tr>
        <w:tc>
          <w:tcPr/>
          <w:p>
            <w:pPr>
              <w:pStyle w:val="Compact"/>
            </w:pPr>
            <w:r>
              <w:t xml:space="preserve">LSTM global 9 villes</w:t>
            </w:r>
          </w:p>
        </w:tc>
        <w:tc>
          <w:tcPr/>
          <w:p>
            <w:pPr>
              <w:pStyle w:val="Compact"/>
            </w:pPr>
            <w:r>
              <w:t xml:space="preserve">ARIMA-Fourier auto</w:t>
            </w:r>
          </w:p>
        </w:tc>
        <w:tc>
          <w:tcPr/>
          <w:p>
            <w:pPr>
              <w:pStyle w:val="Compact"/>
            </w:pPr>
            <w:r>
              <w:t xml:space="preserve">-4,27</w:t>
            </w:r>
          </w:p>
        </w:tc>
        <w:tc>
          <w:tcPr/>
          <w:p>
            <w:pPr>
              <w:pStyle w:val="Compact"/>
            </w:pPr>
            <w:r>
              <w:t xml:space="preserve">&lt; 0,001</w:t>
            </w:r>
          </w:p>
        </w:tc>
        <w:tc>
          <w:tcPr/>
          <w:p>
            <w:pPr>
              <w:pStyle w:val="Compact"/>
            </w:pPr>
            <w:r>
              <w:t xml:space="preserve">-0,84</w:t>
            </w:r>
          </w:p>
        </w:tc>
        <w:tc>
          <w:tcPr/>
          <w:p>
            <w:pPr>
              <w:pStyle w:val="Compact"/>
            </w:pPr>
            <w:r>
              <w:t xml:space="preserve">0,402</w:t>
            </w:r>
          </w:p>
        </w:tc>
        <w:tc>
          <w:tcPr/>
          <w:p>
            <w:pPr>
              <w:pStyle w:val="Compact"/>
            </w:pPr>
            <w:r>
              <w:t xml:space="preserve">0,983</w:t>
            </w:r>
          </w:p>
        </w:tc>
      </w:tr>
      <w:tr>
        <w:tc>
          <w:tcPr/>
          <w:p>
            <w:pPr>
              <w:pStyle w:val="Compact"/>
            </w:pPr>
            <w:r>
              <w:t xml:space="preserve">LSTM global 9 villes</w:t>
            </w:r>
          </w:p>
        </w:tc>
        <w:tc>
          <w:tcPr/>
          <w:p>
            <w:pPr>
              <w:pStyle w:val="Compact"/>
            </w:pPr>
            <w:r>
              <w:t xml:space="preserve">VAR</w:t>
            </w:r>
          </w:p>
        </w:tc>
        <w:tc>
          <w:tcPr/>
          <w:p>
            <w:pPr>
              <w:pStyle w:val="Compact"/>
            </w:pPr>
            <w:r>
              <w:t xml:space="preserve">-2,54</w:t>
            </w:r>
          </w:p>
        </w:tc>
        <w:tc>
          <w:tcPr/>
          <w:p>
            <w:pPr>
              <w:pStyle w:val="Compact"/>
            </w:pPr>
            <w:r>
              <w:t xml:space="preserve">0,011</w:t>
            </w:r>
          </w:p>
        </w:tc>
        <w:tc>
          <w:tcPr/>
          <w:p>
            <w:pPr>
              <w:pStyle w:val="Compact"/>
            </w:pPr>
            <w:r>
              <w:t xml:space="preserve">-0,47</w:t>
            </w:r>
          </w:p>
        </w:tc>
        <w:tc>
          <w:tcPr/>
          <w:p>
            <w:pPr>
              <w:pStyle w:val="Compact"/>
            </w:pPr>
            <w:r>
              <w:t xml:space="preserve">0,636</w:t>
            </w:r>
          </w:p>
        </w:tc>
        <w:tc>
          <w:tcPr/>
          <w:p>
            <w:pPr>
              <w:pStyle w:val="Compact"/>
            </w:pPr>
            <w:r>
              <w:t xml:space="preserve">0,980</w:t>
            </w:r>
          </w:p>
        </w:tc>
      </w:tr>
      <w:tr>
        <w:tc>
          <w:tcPr/>
          <w:p>
            <w:pPr>
              <w:pStyle w:val="Compact"/>
            </w:pPr>
            <w:r>
              <w:t xml:space="preserve">LSTM global 9 villes</w:t>
            </w:r>
          </w:p>
        </w:tc>
        <w:tc>
          <w:tcPr/>
          <w:p>
            <w:pPr>
              <w:pStyle w:val="Compact"/>
            </w:pPr>
            <w:r>
              <w:t xml:space="preserve">Prophet</w:t>
            </w:r>
          </w:p>
        </w:tc>
        <w:tc>
          <w:tcPr/>
          <w:p>
            <w:pPr>
              <w:pStyle w:val="Compact"/>
            </w:pPr>
            <w:r>
              <w:t xml:space="preserve">-5,82</w:t>
            </w:r>
          </w:p>
        </w:tc>
        <w:tc>
          <w:tcPr/>
          <w:p>
            <w:pPr>
              <w:pStyle w:val="Compact"/>
            </w:pPr>
            <w:r>
              <w:t xml:space="preserve">&lt; 0,001</w:t>
            </w:r>
          </w:p>
        </w:tc>
        <w:tc>
          <w:tcPr/>
          <w:p>
            <w:pPr>
              <w:pStyle w:val="Compact"/>
            </w:pPr>
            <w:r>
              <w:t xml:space="preserve">-0,10</w:t>
            </w:r>
          </w:p>
        </w:tc>
        <w:tc>
          <w:tcPr/>
          <w:p>
            <w:pPr>
              <w:pStyle w:val="Compact"/>
            </w:pPr>
            <w:r>
              <w:t xml:space="preserve">0,922</w:t>
            </w:r>
          </w:p>
        </w:tc>
        <w:tc>
          <w:tcPr/>
          <w:p>
            <w:pPr>
              <w:pStyle w:val="Compact"/>
            </w:pPr>
            <w:r>
              <w:t xml:space="preserve">0,017</w:t>
            </w:r>
          </w:p>
        </w:tc>
      </w:tr>
      <w:tr>
        <w:tc>
          <w:tcPr/>
          <w:p>
            <w:pPr>
              <w:pStyle w:val="Compact"/>
            </w:pPr>
            <w:r>
              <w:t xml:space="preserve">LSTM global 9 villes</w:t>
            </w:r>
          </w:p>
        </w:tc>
        <w:tc>
          <w:tcPr/>
          <w:p>
            <w:pPr>
              <w:pStyle w:val="Compact"/>
            </w:pPr>
            <w:r>
              <w:t xml:space="preserve">LSTM</w:t>
            </w:r>
          </w:p>
        </w:tc>
        <w:tc>
          <w:tcPr/>
          <w:p>
            <w:pPr>
              <w:pStyle w:val="Compact"/>
            </w:pPr>
            <w:r>
              <w:t xml:space="preserve">0,20</w:t>
            </w:r>
          </w:p>
        </w:tc>
        <w:tc>
          <w:tcPr/>
          <w:p>
            <w:pPr>
              <w:pStyle w:val="Compact"/>
            </w:pPr>
            <w:r>
              <w:t xml:space="preserve">0,838</w:t>
            </w:r>
          </w:p>
        </w:tc>
        <w:tc>
          <w:tcPr/>
          <w:p>
            <w:pPr>
              <w:pStyle w:val="Compact"/>
            </w:pPr>
            <w:r>
              <w:t xml:space="preserve">-2,67</w:t>
            </w:r>
          </w:p>
        </w:tc>
        <w:tc>
          <w:tcPr/>
          <w:p>
            <w:pPr>
              <w:pStyle w:val="Compact"/>
            </w:pPr>
            <w:r>
              <w:t xml:space="preserve">0,008</w:t>
            </w:r>
          </w:p>
        </w:tc>
        <w:tc>
          <w:tcPr/>
          <w:p>
            <w:pPr>
              <w:pStyle w:val="Compact"/>
            </w:pPr>
            <w:r>
              <w:t xml:space="preserve">&lt; 0,001</w:t>
            </w:r>
          </w:p>
        </w:tc>
      </w:tr>
      <w:tr>
        <w:tc>
          <w:tcPr/>
          <w:p>
            <w:pPr>
              <w:pStyle w:val="Compact"/>
            </w:pPr>
            <w:r>
              <w:t xml:space="preserve">LSTM global 9 villes</w:t>
            </w:r>
          </w:p>
        </w:tc>
        <w:tc>
          <w:tcPr/>
          <w:p>
            <w:pPr>
              <w:pStyle w:val="Compact"/>
            </w:pPr>
            <w:r>
              <w:t xml:space="preserve">GRU</w:t>
            </w:r>
          </w:p>
        </w:tc>
        <w:tc>
          <w:tcPr/>
          <w:p>
            <w:pPr>
              <w:pStyle w:val="Compact"/>
            </w:pPr>
            <w:r>
              <w:t xml:space="preserve">0,12</w:t>
            </w:r>
          </w:p>
        </w:tc>
        <w:tc>
          <w:tcPr/>
          <w:p>
            <w:pPr>
              <w:pStyle w:val="Compact"/>
            </w:pPr>
            <w:r>
              <w:t xml:space="preserve">0,906</w:t>
            </w:r>
          </w:p>
        </w:tc>
        <w:tc>
          <w:tcPr/>
          <w:p>
            <w:pPr>
              <w:pStyle w:val="Compact"/>
            </w:pPr>
            <w:r>
              <w:t xml:space="preserve">-1,49</w:t>
            </w:r>
          </w:p>
        </w:tc>
        <w:tc>
          <w:tcPr/>
          <w:p>
            <w:pPr>
              <w:pStyle w:val="Compact"/>
            </w:pPr>
            <w:r>
              <w:t xml:space="preserve">0,135</w:t>
            </w:r>
          </w:p>
        </w:tc>
        <w:tc>
          <w:tcPr/>
          <w:p>
            <w:pPr>
              <w:pStyle w:val="Compact"/>
            </w:pPr>
            <w:r>
              <w:t xml:space="preserve">0,059</w:t>
            </w:r>
          </w:p>
        </w:tc>
      </w:tr>
      <w:tr>
        <w:tc>
          <w:tcPr/>
          <w:p>
            <w:pPr>
              <w:pStyle w:val="Compact"/>
            </w:pPr>
            <w:r>
              <w:t xml:space="preserve">LSTM global 9 villes</w:t>
            </w:r>
          </w:p>
        </w:tc>
        <w:tc>
          <w:tcPr/>
          <w:p>
            <w:pPr>
              <w:pStyle w:val="Compact"/>
            </w:pPr>
            <w:r>
              <w:t xml:space="preserve">Hybride ARIMA + LSTM</w:t>
            </w:r>
          </w:p>
        </w:tc>
        <w:tc>
          <w:tcPr/>
          <w:p>
            <w:pPr>
              <w:pStyle w:val="Compact"/>
            </w:pPr>
            <w:r>
              <w:t xml:space="preserve">-0,49</w:t>
            </w:r>
          </w:p>
        </w:tc>
        <w:tc>
          <w:tcPr/>
          <w:p>
            <w:pPr>
              <w:pStyle w:val="Compact"/>
            </w:pPr>
            <w:r>
              <w:t xml:space="preserve">0,624</w:t>
            </w:r>
          </w:p>
        </w:tc>
        <w:tc>
          <w:tcPr/>
          <w:p>
            <w:pPr>
              <w:pStyle w:val="Compact"/>
            </w:pPr>
            <w:r>
              <w:t xml:space="preserve">-1,15</w:t>
            </w:r>
          </w:p>
        </w:tc>
        <w:tc>
          <w:tcPr/>
          <w:p>
            <w:pPr>
              <w:pStyle w:val="Compact"/>
            </w:pPr>
            <w:r>
              <w:t xml:space="preserve">0,252</w:t>
            </w:r>
          </w:p>
        </w:tc>
        <w:tc>
          <w:tcPr/>
          <w:p>
            <w:pPr>
              <w:pStyle w:val="Compact"/>
            </w:pPr>
            <w:r>
              <w:t xml:space="preserve">0,555</w:t>
            </w:r>
          </w:p>
        </w:tc>
      </w:tr>
      <w:tr>
        <w:tc>
          <w:tcPr/>
          <w:p>
            <w:pPr>
              <w:pStyle w:val="Compact"/>
            </w:pPr>
            <w:r>
              <w:t xml:space="preserve">LSTM global 9 villes</w:t>
            </w:r>
          </w:p>
        </w:tc>
        <w:tc>
          <w:tcPr/>
          <w:p>
            <w:pPr>
              <w:pStyle w:val="Compact"/>
            </w:pPr>
            <w:r>
              <w:t xml:space="preserve">XGBoost direct</w:t>
            </w:r>
          </w:p>
        </w:tc>
        <w:tc>
          <w:tcPr/>
          <w:p>
            <w:pPr>
              <w:pStyle w:val="Compact"/>
            </w:pPr>
            <w:r>
              <w:t xml:space="preserve">0,35</w:t>
            </w:r>
          </w:p>
        </w:tc>
        <w:tc>
          <w:tcPr/>
          <w:p>
            <w:pPr>
              <w:pStyle w:val="Compact"/>
            </w:pPr>
            <w:r>
              <w:t xml:space="preserve">0,729</w:t>
            </w:r>
          </w:p>
        </w:tc>
        <w:tc>
          <w:tcPr/>
          <w:p>
            <w:pPr>
              <w:pStyle w:val="Compact"/>
            </w:pPr>
            <w:r>
              <w:t xml:space="preserve">-1,23</w:t>
            </w:r>
          </w:p>
        </w:tc>
        <w:tc>
          <w:tcPr/>
          <w:p>
            <w:pPr>
              <w:pStyle w:val="Compact"/>
            </w:pPr>
            <w:r>
              <w:t xml:space="preserve">0,219</w:t>
            </w:r>
          </w:p>
        </w:tc>
        <w:tc>
          <w:tcPr/>
          <w:p>
            <w:pPr>
              <w:pStyle w:val="Compact"/>
            </w:pPr>
            <w:r>
              <w:t xml:space="preserve">0,020</w:t>
            </w:r>
          </w:p>
        </w:tc>
      </w:tr>
    </w:tbl>
    <w:p>
      <w:pPr>
        <w:pStyle w:val="Compact"/>
        <w:numPr>
          <w:ilvl w:val="0"/>
          <w:numId w:val="1014"/>
        </w:numPr>
      </w:pPr>
      <w:r>
        <w:rPr>
          <w:b/>
          <w:bCs/>
        </w:rPr>
        <w:t xml:space="preserve">À un jour,</w:t>
      </w:r>
      <w:r>
        <w:t xml:space="preserve"> </w:t>
      </w:r>
      <w:r>
        <w:t xml:space="preserve">tous les modèles sauf Prophet battent significativement la climatologie.</w:t>
      </w:r>
      <w:r>
        <w:t xml:space="preserve"> </w:t>
      </w:r>
      <w:r>
        <w:rPr>
          <w:b/>
          <w:bCs/>
        </w:rPr>
        <w:t xml:space="preserve">À sept jours, aucun modèle ex ante ne la bat</w:t>
      </w:r>
      <w:r>
        <w:t xml:space="preserve"> </w:t>
      </w:r>
      <w:r>
        <w:t xml:space="preserve">; le LSTM local fait même significativement moins bien (p = 0,005). Les modèles ex post la battent à tous les horizons.</w:t>
      </w:r>
    </w:p>
    <w:p>
      <w:pPr>
        <w:pStyle w:val="Compact"/>
        <w:numPr>
          <w:ilvl w:val="0"/>
          <w:numId w:val="1014"/>
        </w:numPr>
      </w:pPr>
      <w:r>
        <w:rPr>
          <w:b/>
          <w:bCs/>
        </w:rPr>
        <w:t xml:space="preserve">Le LSTM global</w:t>
      </w:r>
      <w:r>
        <w:t xml:space="preserve"> </w:t>
      </w:r>
      <w:r>
        <w:t xml:space="preserve">est significativement meilleur que l’ARIMA et le VAR à un jour, pas à sept jours ; meilleur que le LSTM local à sept jours seulement : les autres villes régularisent.</w:t>
      </w:r>
    </w:p>
    <w:p>
      <w:pPr>
        <w:pStyle w:val="Compact"/>
        <w:numPr>
          <w:ilvl w:val="0"/>
          <w:numId w:val="1014"/>
        </w:numPr>
      </w:pPr>
      <w:r>
        <w:rPr>
          <w:b/>
          <w:bCs/>
        </w:rPr>
        <w:t xml:space="preserve">Ex post,</w:t>
      </w:r>
      <w:r>
        <w:t xml:space="preserve"> </w:t>
      </w:r>
      <w:r>
        <w:t xml:space="preserve">le LSTM n’est pas significativement meilleur que le SARIMAX météo en perte quadratique (p = 0,32 à un jour) ; il l’est en perte absolue.</w:t>
      </w:r>
    </w:p>
    <w:p>
      <w:pPr>
        <w:pStyle w:val="FirstParagraph"/>
      </w:pPr>
      <w:r>
        <w:rPr>
          <w:b/>
          <w:bCs/>
        </w:rPr>
        <w:t xml:space="preserve">Conclusion sur le meilleur modèle selon le cas d’usage.</w:t>
      </w:r>
    </w:p>
    <w:p>
      <w:pPr>
        <w:pStyle w:val="Compact"/>
        <w:numPr>
          <w:ilvl w:val="0"/>
          <w:numId w:val="1015"/>
        </w:numPr>
      </w:pPr>
      <w:r>
        <w:rPr>
          <w:b/>
          <w:bCs/>
        </w:rPr>
        <w:t xml:space="preserve">Sans prévision météo :</w:t>
      </w:r>
      <w:r>
        <w:t xml:space="preserve"> </w:t>
      </w:r>
      <w:r>
        <w:t xml:space="preserve">au-delà de deux jours, rien ne bat la normale saisonnière. À un ou deux jours, le</w:t>
      </w:r>
      <w:r>
        <w:t xml:space="preserve"> </w:t>
      </w:r>
      <w:r>
        <w:rPr>
          <w:b/>
          <w:bCs/>
        </w:rPr>
        <w:t xml:space="preserve">VAR</w:t>
      </w:r>
      <w:r>
        <w:t xml:space="preserve"> </w:t>
      </w:r>
      <w:r>
        <w:t xml:space="preserve">est recommandé : un peu moins précis que le LSTM global (1,009 contre 0,989 à un jour), il est interprétable, fournit un intervalle calibré et s’ajuste en une demi-seconde.</w:t>
      </w:r>
    </w:p>
    <w:p>
      <w:pPr>
        <w:pStyle w:val="Compact"/>
        <w:numPr>
          <w:ilvl w:val="0"/>
          <w:numId w:val="1015"/>
        </w:numPr>
      </w:pPr>
      <w:r>
        <w:rPr>
          <w:b/>
          <w:bCs/>
        </w:rPr>
        <w:t xml:space="preserve">Avec une prévision météo :</w:t>
      </w:r>
      <w:r>
        <w:t xml:space="preserve"> </w:t>
      </w:r>
      <w:r>
        <w:t xml:space="preserve">le</w:t>
      </w:r>
      <w:r>
        <w:t xml:space="preserve"> </w:t>
      </w:r>
      <w:r>
        <w:rPr>
          <w:b/>
          <w:bCs/>
        </w:rPr>
        <w:t xml:space="preserve">SARIMAX météo</w:t>
      </w:r>
      <w:r>
        <w:t xml:space="preserve"> </w:t>
      </w:r>
      <w:r>
        <w:t xml:space="preserve">pour un exploitant qui doit justifier ses décisions (effet chiffré des nuages, de la pluie et des poussières, intervalle calibré), le LSTM ex post si seule compte la précision (-3,6 % de RMSE).</w:t>
      </w:r>
    </w:p>
    <w:p>
      <w:pPr>
        <w:pStyle w:val="FirstParagraph"/>
      </w:pPr>
      <w:r>
        <w:rPr>
          <w:b/>
          <w:bCs/>
        </w:rPr>
        <w:t xml:space="preserve">Vérification croisée R et Python.</w:t>
      </w:r>
    </w:p>
    <w:p>
      <w:pPr>
        <w:pStyle w:val="TableCaption"/>
      </w:pPr>
      <w:r>
        <w:t xml:space="preserve">Même protocole, même échantillon : Python et R.</w:t>
      </w:r>
    </w:p>
    <w:tbl>
      <w:tblPr>
        <w:tblStyle w:val="Table"/>
        <w:tblW w:type="auto" w:w="0"/>
        <w:tblLook w:firstRow="1" w:lastRow="0" w:firstColumn="0" w:lastColumn="0" w:noHBand="0" w:noVBand="0" w:val="0020"/>
        <w:tblCaption w:val="Même protocole, même échantillon : Python et R."/>
      </w:tblPr>
      <w:tblGrid>
        <w:gridCol w:w="1980"/>
        <w:gridCol w:w="1980"/>
        <w:gridCol w:w="1980"/>
        <w:gridCol w:w="1980"/>
      </w:tblGrid>
      <w:tr>
        <w:trPr>
          <w:tblHeader w:val="on"/>
        </w:trPr>
        <w:tc>
          <w:tcPr/>
          <w:p>
            <w:pPr>
              <w:pStyle w:val="Compact"/>
            </w:pPr>
            <w:r>
              <w:t xml:space="preserve">Modèle</w:t>
            </w:r>
          </w:p>
        </w:tc>
        <w:tc>
          <w:tcPr/>
          <w:p>
            <w:pPr>
              <w:pStyle w:val="Compact"/>
            </w:pPr>
            <w:r>
              <w:t xml:space="preserve">RMSE Python</w:t>
            </w:r>
          </w:p>
        </w:tc>
        <w:tc>
          <w:tcPr/>
          <w:p>
            <w:pPr>
              <w:pStyle w:val="Compact"/>
            </w:pPr>
            <w:r>
              <w:t xml:space="preserve">RMSE R</w:t>
            </w:r>
          </w:p>
        </w:tc>
        <w:tc>
          <w:tcPr/>
          <w:p>
            <w:pPr>
              <w:pStyle w:val="Compact"/>
            </w:pPr>
            <w:r>
              <w:t xml:space="preserve">Écart</w:t>
            </w:r>
          </w:p>
        </w:tc>
      </w:tr>
      <w:tr>
        <w:tc>
          <w:tcPr/>
          <w:p>
            <w:pPr>
              <w:pStyle w:val="Compact"/>
            </w:pPr>
            <w:r>
              <w:t xml:space="preserve">Persistance (J)</w:t>
            </w:r>
          </w:p>
        </w:tc>
        <w:tc>
          <w:tcPr/>
          <w:p>
            <w:pPr>
              <w:pStyle w:val="Compact"/>
            </w:pPr>
            <w:r>
              <w:t xml:space="preserve">1,4335</w:t>
            </w:r>
          </w:p>
        </w:tc>
        <w:tc>
          <w:tcPr/>
          <w:p>
            <w:pPr>
              <w:pStyle w:val="Compact"/>
            </w:pPr>
            <w:r>
              <w:t xml:space="preserve">1,4335</w:t>
            </w:r>
          </w:p>
        </w:tc>
        <w:tc>
          <w:tcPr/>
          <w:p>
            <w:pPr>
              <w:pStyle w:val="Compact"/>
            </w:pPr>
            <w:r>
              <w:t xml:space="preserve">-0,000 %</w:t>
            </w:r>
          </w:p>
        </w:tc>
      </w:tr>
      <w:tr>
        <w:tc>
          <w:tcPr/>
          <w:p>
            <w:pPr>
              <w:pStyle w:val="Compact"/>
            </w:pPr>
            <w:r>
              <w:t xml:space="preserve">Climatologie</w:t>
            </w:r>
          </w:p>
        </w:tc>
        <w:tc>
          <w:tcPr/>
          <w:p>
            <w:pPr>
              <w:pStyle w:val="Compact"/>
            </w:pPr>
            <w:r>
              <w:t xml:space="preserve">1,1002</w:t>
            </w:r>
          </w:p>
        </w:tc>
        <w:tc>
          <w:tcPr/>
          <w:p>
            <w:pPr>
              <w:pStyle w:val="Compact"/>
            </w:pPr>
            <w:r>
              <w:t xml:space="preserve">1,1002</w:t>
            </w:r>
          </w:p>
        </w:tc>
        <w:tc>
          <w:tcPr/>
          <w:p>
            <w:pPr>
              <w:pStyle w:val="Compact"/>
            </w:pPr>
            <w:r>
              <w:t xml:space="preserve">-0,000 %</w:t>
            </w:r>
          </w:p>
        </w:tc>
      </w:tr>
      <w:tr>
        <w:tc>
          <w:tcPr/>
          <w:p>
            <w:pPr>
              <w:pStyle w:val="Compact"/>
            </w:pPr>
            <w:r>
              <w:t xml:space="preserve">ARIMA-Fourier manuel</w:t>
            </w:r>
          </w:p>
        </w:tc>
        <w:tc>
          <w:tcPr/>
          <w:p>
            <w:pPr>
              <w:pStyle w:val="Compact"/>
            </w:pPr>
            <w:r>
              <w:t xml:space="preserve">1,0892</w:t>
            </w:r>
          </w:p>
        </w:tc>
        <w:tc>
          <w:tcPr/>
          <w:p>
            <w:pPr>
              <w:pStyle w:val="Compact"/>
            </w:pPr>
            <w:r>
              <w:t xml:space="preserve">1,0892</w:t>
            </w:r>
          </w:p>
        </w:tc>
        <w:tc>
          <w:tcPr/>
          <w:p>
            <w:pPr>
              <w:pStyle w:val="Compact"/>
            </w:pPr>
            <w:r>
              <w:t xml:space="preserve">0,002 %</w:t>
            </w:r>
          </w:p>
        </w:tc>
      </w:tr>
      <w:tr>
        <w:tc>
          <w:tcPr/>
          <w:p>
            <w:pPr>
              <w:pStyle w:val="Compact"/>
            </w:pPr>
            <w:r>
              <w:t xml:space="preserve">ARIMA-Fourier auto</w:t>
            </w:r>
          </w:p>
        </w:tc>
        <w:tc>
          <w:tcPr/>
          <w:p>
            <w:pPr>
              <w:pStyle w:val="Compact"/>
            </w:pPr>
            <w:r>
              <w:t xml:space="preserve">1,0892</w:t>
            </w:r>
          </w:p>
        </w:tc>
        <w:tc>
          <w:tcPr/>
          <w:p>
            <w:pPr>
              <w:pStyle w:val="Compact"/>
            </w:pPr>
            <w:r>
              <w:t xml:space="preserve">1,0892</w:t>
            </w:r>
          </w:p>
        </w:tc>
        <w:tc>
          <w:tcPr/>
          <w:p>
            <w:pPr>
              <w:pStyle w:val="Compact"/>
            </w:pPr>
            <w:r>
              <w:t xml:space="preserve">0,002 %</w:t>
            </w:r>
          </w:p>
        </w:tc>
      </w:tr>
      <w:tr>
        <w:tc>
          <w:tcPr/>
          <w:p>
            <w:pPr>
              <w:pStyle w:val="Compact"/>
            </w:pPr>
            <w:r>
              <w:t xml:space="preserve">VAR</w:t>
            </w:r>
          </w:p>
        </w:tc>
        <w:tc>
          <w:tcPr/>
          <w:p>
            <w:pPr>
              <w:pStyle w:val="Compact"/>
            </w:pPr>
            <w:r>
              <w:t xml:space="preserve">1,0811</w:t>
            </w:r>
          </w:p>
        </w:tc>
        <w:tc>
          <w:tcPr/>
          <w:p>
            <w:pPr>
              <w:pStyle w:val="Compact"/>
            </w:pPr>
            <w:r>
              <w:t xml:space="preserve">1,0811</w:t>
            </w:r>
          </w:p>
        </w:tc>
        <w:tc>
          <w:tcPr/>
          <w:p>
            <w:pPr>
              <w:pStyle w:val="Compact"/>
            </w:pPr>
            <w:r>
              <w:t xml:space="preserve">0,000 %</w:t>
            </w:r>
          </w:p>
        </w:tc>
      </w:tr>
      <w:tr>
        <w:tc>
          <w:tcPr/>
          <w:p>
            <w:pPr>
              <w:pStyle w:val="Compact"/>
            </w:pPr>
            <w:r>
              <w:t xml:space="preserve">SARIMAX météo (ex post)</w:t>
            </w:r>
          </w:p>
        </w:tc>
        <w:tc>
          <w:tcPr/>
          <w:p>
            <w:pPr>
              <w:pStyle w:val="Compact"/>
            </w:pPr>
            <w:r>
              <w:t xml:space="preserve">0,7252</w:t>
            </w:r>
          </w:p>
        </w:tc>
        <w:tc>
          <w:tcPr/>
          <w:p>
            <w:pPr>
              <w:pStyle w:val="Compact"/>
            </w:pPr>
            <w:r>
              <w:t xml:space="preserve">0,7242</w:t>
            </w:r>
          </w:p>
        </w:tc>
        <w:tc>
          <w:tcPr/>
          <w:p>
            <w:pPr>
              <w:pStyle w:val="Compact"/>
            </w:pPr>
            <w:r>
              <w:t xml:space="preserve">-0,150 %</w:t>
            </w:r>
          </w:p>
        </w:tc>
      </w:tr>
    </w:tbl>
    <w:p>
      <w:pPr>
        <w:pStyle w:val="BodyText"/>
      </w:pPr>
      <w:r>
        <w:t xml:space="preserve">Les RMSE sont identiques pour la persistance, la climatologie et le VAR, et diffèrent de 0,15 % au plus pour les ARIMA (algorithmes d’estimation différents). Les deux langages retiennent le même modèle.</w:t>
      </w:r>
    </w:p>
    <w:bookmarkEnd w:id="78"/>
    <w:bookmarkStart w:id="85" w:name="ia-générative-et-llm"/>
    <w:p>
      <w:pPr>
        <w:pStyle w:val="Heading1"/>
      </w:pPr>
      <w:r>
        <w:t xml:space="preserve">7. IA générative et LLM</w:t>
      </w:r>
    </w:p>
    <w:bookmarkStart w:id="79" w:name="protocole"/>
    <w:p>
      <w:pPr>
        <w:pStyle w:val="Heading2"/>
      </w:pPr>
      <w:r>
        <w:t xml:space="preserve">7.1 Protocole</w:t>
      </w:r>
    </w:p>
    <w:p>
      <w:pPr>
        <w:pStyle w:val="Compact"/>
        <w:numPr>
          <w:ilvl w:val="0"/>
          <w:numId w:val="1016"/>
        </w:numPr>
      </w:pPr>
      <w:r>
        <w:rPr>
          <w:b/>
          <w:bCs/>
        </w:rPr>
        <w:t xml:space="preserve">LLM utilisé :</w:t>
      </w:r>
      <w:r>
        <w:t xml:space="preserve"> </w:t>
      </w:r>
      <w:r>
        <w:rPr>
          <w:rStyle w:val="VerbatimChar"/>
        </w:rPr>
        <w:t xml:space="preserve">qwen3-vl:8b-instruct</w:t>
      </w:r>
      <w:r>
        <w:t xml:space="preserve">, modèle généraliste exécuté en local avec Ollama, température 0 et graine fixée (réponses reproductibles).</w:t>
      </w:r>
    </w:p>
    <w:p>
      <w:pPr>
        <w:pStyle w:val="Compact"/>
        <w:numPr>
          <w:ilvl w:val="0"/>
          <w:numId w:val="1016"/>
        </w:numPr>
      </w:pPr>
      <w:r>
        <w:rPr>
          <w:b/>
          <w:bCs/>
        </w:rPr>
        <w:t xml:space="preserve">Prompts :</w:t>
      </w:r>
      <w:r>
        <w:t xml:space="preserve"> </w:t>
      </w:r>
      <w:r>
        <w:t xml:space="preserve">construits par le notebook à partir de ses propres sorties (</w:t>
      </w:r>
      <w:r>
        <w:rPr>
          <w:rStyle w:val="VerbatimChar"/>
        </w:rPr>
        <w:t xml:space="preserve">llm/prompt_1.txt</w:t>
      </w:r>
      <w:r>
        <w:t xml:space="preserve"> </w:t>
      </w:r>
      <w:r>
        <w:t xml:space="preserve">à</w:t>
      </w:r>
      <w:r>
        <w:t xml:space="preserve"> </w:t>
      </w:r>
      <w:r>
        <w:rPr>
          <w:rStyle w:val="VerbatimChar"/>
        </w:rPr>
        <w:t xml:space="preserve">prompt_3.txt</w:t>
      </w:r>
      <w:r>
        <w:t xml:space="preserve">), pour que chaque affirmation du LLM soit vérifiable ; réponses archivées intégralement (annexe A).</w:t>
      </w:r>
    </w:p>
    <w:p>
      <w:pPr>
        <w:pStyle w:val="Compact"/>
        <w:numPr>
          <w:ilvl w:val="0"/>
          <w:numId w:val="1016"/>
        </w:numPr>
      </w:pPr>
      <w:r>
        <w:rPr>
          <w:b/>
          <w:bCs/>
        </w:rPr>
        <w:t xml:space="preserve">Interprétation humaine d’abord :</w:t>
      </w:r>
      <w:r>
        <w:t xml:space="preserve"> </w:t>
      </w:r>
      <w:r>
        <w:t xml:space="preserve">notre propre lecture (</w:t>
      </w:r>
      <w:r>
        <w:rPr>
          <w:rStyle w:val="VerbatimChar"/>
        </w:rPr>
        <w:t xml:space="preserve">llm/interpretation_experte.md</w:t>
      </w:r>
      <w:r>
        <w:t xml:space="preserve">, annexe A.1) a été rédigée avant l’envoi des prompts ; le script d’interrogation refuse de s’exécuter sans elle.</w:t>
      </w:r>
    </w:p>
    <w:p>
      <w:pPr>
        <w:pStyle w:val="Compact"/>
        <w:numPr>
          <w:ilvl w:val="0"/>
          <w:numId w:val="1016"/>
        </w:numPr>
      </w:pPr>
      <w:r>
        <w:rPr>
          <w:b/>
          <w:bCs/>
        </w:rPr>
        <w:t xml:space="preserve">Le même LLM sert l’assistant RAG</w:t>
      </w:r>
      <w:r>
        <w:t xml:space="preserve"> </w:t>
      </w:r>
      <w:r>
        <w:t xml:space="preserve">(section 8.3), mais ancré sur des passages retrouvés et obligé de citer ses sources.</w:t>
      </w:r>
    </w:p>
    <w:p>
      <w:pPr>
        <w:pStyle w:val="FirstParagraph"/>
      </w:pPr>
      <w:r>
        <w:t xml:space="preserve">[À compléter par le groupe : préciser les autres outils d’IA générative utilisés pour le code et la rédaction, et à quelles étapes.]</w:t>
      </w:r>
    </w:p>
    <w:bookmarkEnd w:id="79"/>
    <w:bookmarkStart w:id="80" w:name="hypothèses-de-modèles-prompt-1"/>
    <w:p>
      <w:pPr>
        <w:pStyle w:val="Heading2"/>
      </w:pPr>
      <w:r>
        <w:t xml:space="preserve">7.2 Hypothèses de modèles (prompt 1)</w:t>
      </w:r>
    </w:p>
    <w:p>
      <w:pPr>
        <w:pStyle w:val="FirstParagraph"/>
      </w:pPr>
      <w:r>
        <w:t xml:space="preserve">Le LLM n’a reçu que les statistiques descriptives, les autocorrélations et les tests de stationnarité.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Point</w:t>
            </w:r>
          </w:p>
        </w:tc>
        <w:tc>
          <w:tcPr/>
          <w:p>
            <w:pPr>
              <w:pStyle w:val="Compact"/>
            </w:pPr>
            <w:r>
              <w:t xml:space="preserve">Réponse du LLM</w:t>
            </w:r>
          </w:p>
        </w:tc>
        <w:tc>
          <w:tcPr/>
          <w:p>
            <w:pPr>
              <w:pStyle w:val="Compact"/>
            </w:pPr>
            <w:r>
              <w:t xml:space="preserve">Notre analyse</w:t>
            </w:r>
          </w:p>
        </w:tc>
        <w:tc>
          <w:tcPr/>
          <w:p>
            <w:pPr>
              <w:pStyle w:val="Compact"/>
            </w:pPr>
            <w:r>
              <w:t xml:space="preserve">Verdict</w:t>
            </w:r>
          </w:p>
        </w:tc>
      </w:tr>
      <w:tr>
        <w:tc>
          <w:tcPr/>
          <w:p>
            <w:pPr>
              <w:pStyle w:val="Compact"/>
            </w:pPr>
            <w:r>
              <w:t xml:space="preserve">Cycle annuel</w:t>
            </w:r>
          </w:p>
        </w:tc>
        <w:tc>
          <w:tcPr/>
          <w:p>
            <w:pPr>
              <w:pStyle w:val="Compact"/>
            </w:pPr>
            <w:r>
              <w:t xml:space="preserve">SARIMA(1,1,1)(1,1,1)</w:t>
            </w:r>
            <w:r>
              <w:rPr>
                <w:b/>
                <w:bCs/>
              </w:rPr>
              <w:t xml:space="preserve">12</w:t>
            </w:r>
            <w:r>
              <w:t xml:space="preserve"> </w:t>
            </w:r>
            <w:r>
              <w:t xml:space="preserve">et décomposition de Fourier</w:t>
            </w:r>
          </w:p>
        </w:tc>
        <w:tc>
          <w:tcPr/>
          <w:p>
            <w:pPr>
              <w:pStyle w:val="Compact"/>
            </w:pPr>
            <w:r>
              <w:t xml:space="preserve">Fourier (K = 2) ; s = 12 seulement à la maille mensuelle</w:t>
            </w:r>
          </w:p>
        </w:tc>
        <w:tc>
          <w:tcPr/>
          <w:p>
            <w:pPr>
              <w:pStyle w:val="Compact"/>
            </w:pPr>
            <w:r>
              <w:t xml:space="preserve">convergence sur Fourier,</w:t>
            </w:r>
            <w:r>
              <w:t xml:space="preserve"> </w:t>
            </w:r>
            <w:r>
              <w:rPr>
                <w:b/>
                <w:bCs/>
              </w:rPr>
              <w:t xml:space="preserve">erreur de période</w:t>
            </w:r>
          </w:p>
        </w:tc>
      </w:tr>
      <w:tr>
        <w:tc>
          <w:tcPr/>
          <w:p>
            <w:pPr>
              <w:pStyle w:val="Compact"/>
            </w:pPr>
            <w:r>
              <w:t xml:space="preserve">Différenciation</w:t>
            </w:r>
          </w:p>
        </w:tc>
        <w:tc>
          <w:tcPr/>
          <w:p>
            <w:pPr>
              <w:pStyle w:val="Compact"/>
            </w:pPr>
            <w:r>
              <w:t xml:space="preserve">d = 1 et D = 1</w:t>
            </w:r>
          </w:p>
        </w:tc>
        <w:tc>
          <w:tcPr/>
          <w:p>
            <w:pPr>
              <w:pStyle w:val="Compact"/>
            </w:pPr>
            <w:r>
              <w:t xml:space="preserve">d = 0 et D = 0</w:t>
            </w:r>
          </w:p>
        </w:tc>
        <w:tc>
          <w:tcPr/>
          <w:p>
            <w:pPr>
              <w:pStyle w:val="Compact"/>
            </w:pPr>
            <w:r>
              <w:rPr>
                <w:b/>
                <w:bCs/>
              </w:rPr>
              <w:t xml:space="preserve">erreur</w:t>
            </w:r>
            <w:r>
              <w:t xml:space="preserve"> </w:t>
            </w:r>
            <w:r>
              <w:t xml:space="preserve">: tests lus à l’envers</w:t>
            </w:r>
          </w:p>
        </w:tc>
      </w:tr>
      <w:tr>
        <w:tc>
          <w:tcPr/>
          <w:p>
            <w:pPr>
              <w:pStyle w:val="Compact"/>
            </w:pPr>
            <w:r>
              <w:t xml:space="preserve">Tendance</w:t>
            </w:r>
          </w:p>
        </w:tc>
        <w:tc>
          <w:tcPr/>
          <w:p>
            <w:pPr>
              <w:pStyle w:val="Compact"/>
            </w:pPr>
            <w:r>
              <w:t xml:space="preserve">« tendance visible »</w:t>
            </w:r>
          </w:p>
        </w:tc>
        <w:tc>
          <w:tcPr/>
          <w:p>
            <w:pPr>
              <w:pStyle w:val="Compact"/>
            </w:pPr>
            <w:r>
              <w:t xml:space="preserve">aucune (moins de 1 % de la variance)</w:t>
            </w:r>
          </w:p>
        </w:tc>
        <w:tc>
          <w:tcPr/>
          <w:p>
            <w:pPr>
              <w:pStyle w:val="Compact"/>
            </w:pPr>
            <w:r>
              <w:rPr>
                <w:b/>
                <w:bCs/>
              </w:rPr>
              <w:t xml:space="preserve">invention</w:t>
            </w:r>
          </w:p>
        </w:tc>
      </w:tr>
      <w:tr>
        <w:tc>
          <w:tcPr/>
          <w:p>
            <w:pPr>
              <w:pStyle w:val="Compact"/>
            </w:pPr>
            <w:r>
              <w:t xml:space="preserve">Variance</w:t>
            </w:r>
          </w:p>
        </w:tc>
        <w:tc>
          <w:tcPr/>
          <w:p>
            <w:pPr>
              <w:pStyle w:val="Compact"/>
            </w:pPr>
            <w:r>
              <w:t xml:space="preserve">GARCH</w:t>
            </w:r>
          </w:p>
        </w:tc>
        <w:tc>
          <w:tcPr/>
          <w:p>
            <w:pPr>
              <w:pStyle w:val="Compact"/>
            </w:pPr>
            <w:r>
              <w:t xml:space="preserve">variance saisonnière + GARCH</w:t>
            </w:r>
          </w:p>
        </w:tc>
        <w:tc>
          <w:tcPr/>
          <w:p>
            <w:pPr>
              <w:pStyle w:val="Compact"/>
            </w:pPr>
            <w:r>
              <w:t xml:space="preserve">convergence partielle</w:t>
            </w:r>
          </w:p>
        </w:tc>
      </w:tr>
      <w:tr>
        <w:tc>
          <w:tcPr/>
          <w:p>
            <w:pPr>
              <w:pStyle w:val="Compact"/>
            </w:pPr>
            <w:r>
              <w:t xml:space="preserve">Variables exogènes</w:t>
            </w:r>
          </w:p>
        </w:tc>
        <w:tc>
          <w:tcPr/>
          <w:p>
            <w:pPr>
              <w:pStyle w:val="Compact"/>
            </w:pPr>
            <w:r>
              <w:t xml:space="preserve">SARIMAX avec la météo</w:t>
            </w:r>
          </w:p>
        </w:tc>
        <w:tc>
          <w:tcPr/>
          <w:p>
            <w:pPr>
              <w:pStyle w:val="Compact"/>
            </w:pPr>
            <w:r>
              <w:t xml:space="preserve">SARIMAX météo</w:t>
            </w:r>
          </w:p>
        </w:tc>
        <w:tc>
          <w:tcPr/>
          <w:p>
            <w:pPr>
              <w:pStyle w:val="Compact"/>
            </w:pPr>
            <w:r>
              <w:t xml:space="preserve">convergence</w:t>
            </w:r>
          </w:p>
        </w:tc>
      </w:tr>
      <w:tr>
        <w:tc>
          <w:tcPr/>
          <w:p>
            <w:pPr>
              <w:pStyle w:val="Compact"/>
            </w:pPr>
            <w:r>
              <w:t xml:space="preserve">Transformation</w:t>
            </w:r>
          </w:p>
        </w:tc>
        <w:tc>
          <w:tcPr/>
          <w:p>
            <w:pPr>
              <w:pStyle w:val="Compact"/>
            </w:pPr>
            <w:r>
              <w:t xml:space="preserve">aucune</w:t>
            </w:r>
          </w:p>
        </w:tc>
        <w:tc>
          <w:tcPr/>
          <w:p>
            <w:pPr>
              <w:pStyle w:val="Compact"/>
            </w:pPr>
            <w:r>
              <w:t xml:space="preserve">aucune</w:t>
            </w:r>
          </w:p>
        </w:tc>
        <w:tc>
          <w:tcPr/>
          <w:p>
            <w:pPr>
              <w:pStyle w:val="Compact"/>
            </w:pPr>
            <w:r>
              <w:t xml:space="preserve">même conclusion, justification fausse</w:t>
            </w:r>
          </w:p>
        </w:tc>
      </w:tr>
      <w:tr>
        <w:tc>
          <w:tcPr/>
          <w:p>
            <w:pPr>
              <w:pStyle w:val="Compact"/>
            </w:pPr>
            <w:r>
              <w:t xml:space="preserve">Structure de court terme</w:t>
            </w:r>
          </w:p>
        </w:tc>
        <w:tc>
          <w:tcPr/>
          <w:p>
            <w:pPr>
              <w:pStyle w:val="Compact"/>
            </w:pPr>
            <w:r>
              <w:t xml:space="preserve">non vue</w:t>
            </w:r>
          </w:p>
        </w:tc>
        <w:tc>
          <w:tcPr/>
          <w:p>
            <w:pPr>
              <w:pStyle w:val="Compact"/>
            </w:pPr>
            <w:r>
              <w:t xml:space="preserve">AR(1) de 0,26</w:t>
            </w:r>
          </w:p>
        </w:tc>
        <w:tc>
          <w:tcPr/>
          <w:p>
            <w:pPr>
              <w:pStyle w:val="Compact"/>
            </w:pPr>
            <w:r>
              <w:t xml:space="preserve">oubli</w:t>
            </w:r>
          </w:p>
        </w:tc>
      </w:tr>
    </w:tbl>
    <w:p>
      <w:pPr>
        <w:pStyle w:val="BodyText"/>
      </w:pPr>
      <w:r>
        <w:rPr>
          <w:b/>
          <w:bCs/>
        </w:rPr>
        <w:t xml:space="preserve">Erreurs relevées.</w:t>
      </w:r>
    </w:p>
    <w:p>
      <w:pPr>
        <w:pStyle w:val="Compact"/>
        <w:numPr>
          <w:ilvl w:val="0"/>
          <w:numId w:val="1017"/>
        </w:numPr>
      </w:pPr>
      <w:r>
        <w:rPr>
          <w:b/>
          <w:bCs/>
        </w:rPr>
        <w:t xml:space="preserve">Tests lus à l’envers.</w:t>
      </w:r>
      <w:r>
        <w:t xml:space="preserve"> </w:t>
      </w:r>
      <w:r>
        <w:t xml:space="preserve">Le LLM écrit que « la série originale est non stationnaire (ADF p = 0.0, KPSS p = 0.10) ». Une p-value nulle à l’ADF rejette la racine unitaire et une p-value de 0,10 au KPSS ne rejette pas la stationnarité : les deux tests disent l’inverse. Suivre sa recommandation (d = 1) produirait la sur-différenciation que montre l’ACF de la série différenciée (-0,37 au retard 1).</w:t>
      </w:r>
    </w:p>
    <w:p>
      <w:pPr>
        <w:pStyle w:val="Compact"/>
        <w:numPr>
          <w:ilvl w:val="0"/>
          <w:numId w:val="1017"/>
        </w:numPr>
      </w:pPr>
      <w:r>
        <w:rPr>
          <w:b/>
          <w:bCs/>
        </w:rPr>
        <w:t xml:space="preserve">Période saisonnière fausse.</w:t>
      </w:r>
      <w:r>
        <w:t xml:space="preserve"> </w:t>
      </w:r>
      <w:r>
        <w:t xml:space="preserve">Un SARIMA de période 12 sur une série journalière ne représente aucun cycle réel ; le cycle annuel a une période de 365 jours.</w:t>
      </w:r>
    </w:p>
    <w:p>
      <w:pPr>
        <w:pStyle w:val="Compact"/>
        <w:numPr>
          <w:ilvl w:val="0"/>
          <w:numId w:val="1017"/>
        </w:numPr>
      </w:pPr>
      <w:r>
        <w:rPr>
          <w:b/>
          <w:bCs/>
        </w:rPr>
        <w:t xml:space="preserve">Chiffres et propriétés inventés.</w:t>
      </w:r>
      <w:r>
        <w:t xml:space="preserve"> </w:t>
      </w:r>
      <w:r>
        <w:t xml:space="preserve">« Corrélation &gt; 0,5 » entre la météo et la production, séries « stationnaires après différenciation » : rien de tel ne figurait dans le prompt. La « tendance visible » vient d’une mauvaise lecture du nom d’une ligne du tableau (« désaisonnalisée, avec tendance » désigne la spécification du test, pas un résultat).</w:t>
      </w:r>
    </w:p>
    <w:p>
      <w:pPr>
        <w:pStyle w:val="Compact"/>
        <w:numPr>
          <w:ilvl w:val="0"/>
          <w:numId w:val="1017"/>
        </w:numPr>
      </w:pPr>
      <w:r>
        <w:rPr>
          <w:b/>
          <w:bCs/>
        </w:rPr>
        <w:t xml:space="preserve">Raisonnement contradictoire.</w:t>
      </w:r>
      <w:r>
        <w:t xml:space="preserve"> </w:t>
      </w:r>
      <w:r>
        <w:t xml:space="preserve">Il écarte la transformation parce que « la variance n’est pas fortement hétéroscédastique (écart-type = 1,402) », alors qu’un écart-type global ne dit rien de l’hétéroscédasticité et qu’il propose un GARCH deux paragraphes plus haut, en citant lui-même un écart-type de 0,41 en juillet contre 1,25 en janvier.</w:t>
      </w:r>
    </w:p>
    <w:p>
      <w:pPr>
        <w:pStyle w:val="Compact"/>
        <w:numPr>
          <w:ilvl w:val="0"/>
          <w:numId w:val="1017"/>
        </w:numPr>
      </w:pPr>
      <w:r>
        <w:rPr>
          <w:b/>
          <w:bCs/>
        </w:rPr>
        <w:t xml:space="preserve">Pièges non vus :</w:t>
      </w:r>
      <w:r>
        <w:t xml:space="preserve"> </w:t>
      </w:r>
      <w:r>
        <w:t xml:space="preserve">l’irradiation PVGIS, citée parmi les séries associées, est tautologique ; le MAPE est instable pour les journées très sombres ; les données sont simulées.</w:t>
      </w:r>
    </w:p>
    <w:bookmarkEnd w:id="80"/>
    <w:bookmarkStart w:id="81" w:name="vulgarisation-pour-un-décideur-prompt-2"/>
    <w:p>
      <w:pPr>
        <w:pStyle w:val="Heading2"/>
      </w:pPr>
      <w:r>
        <w:t xml:space="preserve">7.3 Vulgarisation pour un décideur (prompt 2)</w:t>
      </w:r>
    </w:p>
    <w:p>
      <w:pPr>
        <w:pStyle w:val="FirstParagraph"/>
      </w:pPr>
      <w:r>
        <w:t xml:space="preserve">Le texte est clair, court, et reprend correctement les erreurs du tableau (0,699 et 0,725 kWh/kWc). Il explique bien pourquoi la persistance échoue (la météo change). Mais :</w:t>
      </w:r>
    </w:p>
    <w:p>
      <w:pPr>
        <w:pStyle w:val="Compact"/>
        <w:numPr>
          <w:ilvl w:val="0"/>
          <w:numId w:val="1018"/>
        </w:numPr>
      </w:pPr>
      <w:r>
        <w:rPr>
          <w:b/>
          <w:bCs/>
        </w:rPr>
        <w:t xml:space="preserve">Erreur principale : il recommande un modèle inutilisable tel quel.</w:t>
      </w:r>
      <w:r>
        <w:t xml:space="preserve"> </w:t>
      </w:r>
      <w:r>
        <w:t xml:space="preserve">Le LLM conseille le LSTM ex post « quand vous avez les données météo avant la production ». Le prompt définissait « ex post » comme la météo réellement observée, qui n’existe pas au moment de la prévision. Avec une vraie prévision météo, l’erreur serait plus forte (entre 0,70 et 1,08). C’est l’erreur la plus dangereuse pour un décideur, parce qu’elle est formulée avec assurance.</w:t>
      </w:r>
    </w:p>
    <w:p>
      <w:pPr>
        <w:pStyle w:val="Compact"/>
        <w:numPr>
          <w:ilvl w:val="0"/>
          <w:numId w:val="1018"/>
        </w:numPr>
      </w:pPr>
      <w:r>
        <w:rPr>
          <w:b/>
          <w:bCs/>
        </w:rPr>
        <w:t xml:space="preserve">Qualificatifs sans preuve :</w:t>
      </w:r>
      <w:r>
        <w:t xml:space="preserve"> </w:t>
      </w:r>
      <w:r>
        <w:t xml:space="preserve">précision « exceptionnelle » (0,70 kWh/kWc pour une moyenne de 4,48, soit 16 % : bonne, pas exceptionnelle), modèle « plus robuste », qui « fonctionne bien même en hiver ». Aucun résultat saisonnier du LSTM n’était fourni, et le prompt précisait au contraire que l’incertitude est plus forte en hiver.</w:t>
      </w:r>
    </w:p>
    <w:p>
      <w:pPr>
        <w:pStyle w:val="Compact"/>
        <w:numPr>
          <w:ilvl w:val="0"/>
          <w:numId w:val="1018"/>
        </w:numPr>
      </w:pPr>
      <w:r>
        <w:rPr>
          <w:b/>
          <w:bCs/>
        </w:rPr>
        <w:t xml:space="preserve">Oublis :</w:t>
      </w:r>
      <w:r>
        <w:t xml:space="preserve"> </w:t>
      </w:r>
      <w:r>
        <w:t xml:space="preserve">que les modèles sans météo font à peine mieux que la normale saisonnière ; que le SARIMAX, presque aussi précis, explique ses prévisions (effet des nuages et des poussières, fourni dans le prompt) et donne un intervalle.</w:t>
      </w:r>
    </w:p>
    <w:bookmarkEnd w:id="81"/>
    <w:bookmarkStart w:id="82" w:name="recommandations-de-gestion-prompt-3"/>
    <w:p>
      <w:pPr>
        <w:pStyle w:val="Heading2"/>
      </w:pPr>
      <w:r>
        <w:t xml:space="preserve">7.4 Recommandations de gestion (prompt 3)</w:t>
      </w:r>
    </w:p>
    <w:p>
      <w:pPr>
        <w:pStyle w:val="FirstParagraph"/>
      </w:pPr>
      <w:r>
        <w:t xml:space="preserve">Le LLM devait formuler lui-même les limites de ses recommandations.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Recommandation du LLM</w:t>
            </w:r>
          </w:p>
        </w:tc>
        <w:tc>
          <w:tcPr/>
          <w:p>
            <w:pPr>
              <w:pStyle w:val="Compact"/>
            </w:pPr>
            <w:r>
              <w:t xml:space="preserve">Limites qu’il formule</w:t>
            </w:r>
          </w:p>
        </w:tc>
        <w:tc>
          <w:tcPr/>
          <w:p>
            <w:pPr>
              <w:pStyle w:val="Compact"/>
            </w:pPr>
            <w:r>
              <w:t xml:space="preserve">Notre complément critique</w:t>
            </w:r>
          </w:p>
        </w:tc>
      </w:tr>
      <w:tr>
        <w:tc>
          <w:tcPr/>
          <w:p>
            <w:pPr>
              <w:pStyle w:val="Compact"/>
            </w:pPr>
            <w:r>
              <w:t xml:space="preserve">Planifier le nettoyage avec les prévisions ex post (« météo observée »), en janvier et novembre</w:t>
            </w:r>
          </w:p>
        </w:tc>
        <w:tc>
          <w:tcPr/>
          <w:p>
            <w:pPr>
              <w:pStyle w:val="Compact"/>
            </w:pPr>
            <w:r>
              <w:t xml:space="preserve">données simulées ; nettoyage inutile ou tardif</w:t>
            </w:r>
          </w:p>
        </w:tc>
        <w:tc>
          <w:tcPr/>
          <w:p>
            <w:pPr>
              <w:pStyle w:val="Compact"/>
            </w:pPr>
            <w:r>
              <w:t xml:space="preserve">Impossible : la météo observée n’est connue qu’après coup. « Janvier, novembre » relève de la climatologie, pas d’un modèle. PVGIS ne modélise pas la salissure (pertes fixes de 14 %) : nos données ne disent pas quand nettoyer.</w:t>
            </w:r>
          </w:p>
        </w:tc>
      </w:tr>
      <w:tr>
        <w:tc>
          <w:tcPr/>
          <w:p>
            <w:pPr>
              <w:pStyle w:val="Compact"/>
            </w:pPr>
            <w:r>
              <w:t xml:space="preserve">Piloter la batterie avec le LSTM ex ante, jusqu’à 7 jours</w:t>
            </w:r>
          </w:p>
        </w:tc>
        <w:tc>
          <w:tcPr/>
          <w:p>
            <w:pPr>
              <w:pStyle w:val="Compact"/>
            </w:pPr>
            <w:r>
              <w:t xml:space="preserve">MAPE élevé, surtout en hiver</w:t>
            </w:r>
          </w:p>
        </w:tc>
        <w:tc>
          <w:tcPr/>
          <w:p>
            <w:pPr>
              <w:pStyle w:val="Compact"/>
            </w:pPr>
            <w:r>
              <w:t xml:space="preserve">Juste sur l’hiver, mais il ne voit pas que ce modèle fait à peine mieux que la normale (MAE de 0,83 contre 0,86), et pas mieux du tout au-delà de deux jours.</w:t>
            </w:r>
          </w:p>
        </w:tc>
      </w:tr>
      <w:tr>
        <w:tc>
          <w:tcPr/>
          <w:p>
            <w:pPr>
              <w:pStyle w:val="Compact"/>
            </w:pPr>
            <w:r>
              <w:t xml:space="preserve">S’engager auprès du réseau avec le modèle ex post et un « seuil de confiance de 90 % »</w:t>
            </w:r>
          </w:p>
        </w:tc>
        <w:tc>
          <w:tcPr/>
          <w:p>
            <w:pPr>
              <w:pStyle w:val="Compact"/>
            </w:pPr>
            <w:r>
              <w:t xml:space="preserve">dépend de la météo observée</w:t>
            </w:r>
          </w:p>
        </w:tc>
        <w:tc>
          <w:tcPr/>
          <w:p>
            <w:pPr>
              <w:pStyle w:val="Compact"/>
            </w:pPr>
            <w:r>
              <w:t xml:space="preserve">Même confusion sur l’ex post. Le seuil de 90 % de la prévision est arbitraire alors que des intervalles calibrés par saison existent (section 4.3).</w:t>
            </w:r>
          </w:p>
        </w:tc>
      </w:tr>
      <w:tr>
        <w:tc>
          <w:tcPr/>
          <w:p>
            <w:pPr>
              <w:pStyle w:val="Compact"/>
            </w:pPr>
            <w:r>
              <w:t xml:space="preserve">Informer les usagers avec une marge de ± 15 %</w:t>
            </w:r>
          </w:p>
        </w:tc>
        <w:tc>
          <w:tcPr/>
          <w:p>
            <w:pPr>
              <w:pStyle w:val="Compact"/>
            </w:pPr>
            <w:r>
              <w:t xml:space="preserve">données simulées ; perte de confiance</w:t>
            </w:r>
          </w:p>
        </w:tc>
        <w:tc>
          <w:tcPr/>
          <w:p>
            <w:pPr>
              <w:pStyle w:val="Compact"/>
            </w:pPr>
            <w:r>
              <w:t xml:space="preserve">± 15 % reprend le MAPE du modèle ex post : un MAPE n’est pas la demi-largeur d’un intervalle. Il faut l’intervalle du modèle ex ante, plus large l’hiver.</w:t>
            </w:r>
          </w:p>
        </w:tc>
      </w:tr>
    </w:tbl>
    <w:p>
      <w:pPr>
        <w:pStyle w:val="BodyText"/>
      </w:pPr>
      <w:r>
        <w:rPr>
          <w:b/>
          <w:bCs/>
        </w:rPr>
        <w:t xml:space="preserve">Limites qu’il formule bien :</w:t>
      </w:r>
      <w:r>
        <w:t xml:space="preserve"> </w:t>
      </w:r>
      <w:r>
        <w:t xml:space="preserve">installation réelle non validée, dégradation physique des modules non modélisée, rentabilité non étudiée.</w:t>
      </w:r>
      <w:r>
        <w:t xml:space="preserve"> </w:t>
      </w:r>
      <w:r>
        <w:rPr>
          <w:b/>
          <w:bCs/>
        </w:rPr>
        <w:t xml:space="preserve">Hors sujet :</w:t>
      </w:r>
      <w:r>
        <w:t xml:space="preserve"> </w:t>
      </w:r>
      <w:r>
        <w:t xml:space="preserve">la neige à Tunis.</w:t>
      </w:r>
      <w:r>
        <w:t xml:space="preserve"> </w:t>
      </w:r>
      <w:r>
        <w:rPr>
          <w:b/>
          <w:bCs/>
        </w:rPr>
        <w:t xml:space="preserve">Oubli essentiel :</w:t>
      </w:r>
      <w:r>
        <w:t xml:space="preserve"> </w:t>
      </w:r>
      <w:r>
        <w:t xml:space="preserve">les résultats ex post ne mesurent pas ce que donnerait une vraie prévision météo, et c’est pourtant la condition de toutes ses recommandations.</w:t>
      </w:r>
    </w:p>
    <w:bookmarkEnd w:id="82"/>
    <w:bookmarkStart w:id="83" w:name="comparaison-avec-notre-interprétation"/>
    <w:p>
      <w:pPr>
        <w:pStyle w:val="Heading2"/>
      </w:pPr>
      <w:r>
        <w:t xml:space="preserve">7.5 Comparaison avec notre interprétation</w:t>
      </w:r>
    </w:p>
    <w:p>
      <w:pPr>
        <w:pStyle w:val="TableCaption"/>
      </w:pPr>
      <w:r>
        <w:t xml:space="preserve">Convergences et divergences entre l’analyse humaine et le LLM.</w:t>
      </w:r>
    </w:p>
    <w:tbl>
      <w:tblPr>
        <w:tblStyle w:val="Table"/>
        <w:tblW w:type="pct" w:w="5000"/>
        <w:tblLayout w:type="fixed"/>
        <w:tblLook w:firstRow="1" w:lastRow="0" w:firstColumn="0" w:lastColumn="0" w:noHBand="0" w:noVBand="0" w:val="0020"/>
        <w:tblCaption w:val="Convergences et divergences entre l’analyse humaine et le LLM."/>
      </w:tblPr>
      <w:tblGrid>
        <w:gridCol w:w="2640"/>
        <w:gridCol w:w="2640"/>
        <w:gridCol w:w="2640"/>
      </w:tblGrid>
      <w:tr>
        <w:trPr>
          <w:tblHeader w:val="on"/>
        </w:trPr>
        <w:tc>
          <w:tcPr/>
          <w:p>
            <w:pPr>
              <w:pStyle w:val="Compact"/>
            </w:pPr>
          </w:p>
        </w:tc>
        <w:tc>
          <w:tcPr/>
          <w:p>
            <w:pPr>
              <w:pStyle w:val="Compact"/>
            </w:pPr>
            <w:r>
              <w:t xml:space="preserve">Notre interprétation (rédigée avant)</w:t>
            </w:r>
          </w:p>
        </w:tc>
        <w:tc>
          <w:tcPr/>
          <w:p>
            <w:pPr>
              <w:pStyle w:val="Compact"/>
            </w:pPr>
            <w:r>
              <w:t xml:space="preserve">LLM</w:t>
            </w:r>
          </w:p>
        </w:tc>
      </w:tr>
      <w:tr>
        <w:tc>
          <w:tcPr/>
          <w:p>
            <w:pPr>
              <w:pStyle w:val="Compact"/>
            </w:pPr>
            <w:r>
              <w:t xml:space="preserve">Différenciation</w:t>
            </w:r>
          </w:p>
        </w:tc>
        <w:tc>
          <w:tcPr/>
          <w:p>
            <w:pPr>
              <w:pStyle w:val="Compact"/>
            </w:pPr>
            <w:r>
              <w:t xml:space="preserve">d = 0, cycle par Fourier</w:t>
            </w:r>
          </w:p>
        </w:tc>
        <w:tc>
          <w:tcPr/>
          <w:p>
            <w:pPr>
              <w:pStyle w:val="Compact"/>
            </w:pPr>
            <w:r>
              <w:t xml:space="preserve">d = 1, D = 1, période 12</w:t>
            </w:r>
          </w:p>
        </w:tc>
      </w:tr>
      <w:tr>
        <w:tc>
          <w:tcPr/>
          <w:p>
            <w:pPr>
              <w:pStyle w:val="Compact"/>
            </w:pPr>
            <w:r>
              <w:t xml:space="preserve">Variance</w:t>
            </w:r>
          </w:p>
        </w:tc>
        <w:tc>
          <w:tcPr/>
          <w:p>
            <w:pPr>
              <w:pStyle w:val="Compact"/>
            </w:pPr>
            <w:r>
              <w:t xml:space="preserve">saisonnière, puis GARCH</w:t>
            </w:r>
          </w:p>
        </w:tc>
        <w:tc>
          <w:tcPr/>
          <w:p>
            <w:pPr>
              <w:pStyle w:val="Compact"/>
            </w:pPr>
            <w:r>
              <w:t xml:space="preserve">GARCH</w:t>
            </w:r>
          </w:p>
        </w:tc>
      </w:tr>
      <w:tr>
        <w:tc>
          <w:tcPr/>
          <w:p>
            <w:pPr>
              <w:pStyle w:val="Compact"/>
            </w:pPr>
            <w:r>
              <w:t xml:space="preserve">Modèle recommandé sans météo</w:t>
            </w:r>
          </w:p>
        </w:tc>
        <w:tc>
          <w:tcPr/>
          <w:p>
            <w:pPr>
              <w:pStyle w:val="Compact"/>
            </w:pPr>
            <w:r>
              <w:t xml:space="preserve">VAR à 1-2 jours, normale au-delà</w:t>
            </w:r>
          </w:p>
        </w:tc>
        <w:tc>
          <w:tcPr/>
          <w:p>
            <w:pPr>
              <w:pStyle w:val="Compact"/>
            </w:pPr>
            <w:r>
              <w:t xml:space="preserve">LSTM ex ante « jusqu’à 7 jours »</w:t>
            </w:r>
          </w:p>
        </w:tc>
      </w:tr>
      <w:tr>
        <w:tc>
          <w:tcPr/>
          <w:p>
            <w:pPr>
              <w:pStyle w:val="Compact"/>
            </w:pPr>
            <w:r>
              <w:t xml:space="preserve">Modèle recommandé avec météo</w:t>
            </w:r>
          </w:p>
        </w:tc>
        <w:tc>
          <w:tcPr/>
          <w:p>
            <w:pPr>
              <w:pStyle w:val="Compact"/>
            </w:pPr>
            <w:r>
              <w:t xml:space="preserve">SARIMAX météo alimenté par une vraie prévision</w:t>
            </w:r>
          </w:p>
        </w:tc>
        <w:tc>
          <w:tcPr/>
          <w:p>
            <w:pPr>
              <w:pStyle w:val="Compact"/>
            </w:pPr>
            <w:r>
              <w:t xml:space="preserve">LSTM ex post « météo observée »</w:t>
            </w:r>
          </w:p>
        </w:tc>
      </w:tr>
      <w:tr>
        <w:tc>
          <w:tcPr/>
          <w:p>
            <w:pPr>
              <w:pStyle w:val="Compact"/>
            </w:pPr>
            <w:r>
              <w:t xml:space="preserve">Statut de l’ex post</w:t>
            </w:r>
          </w:p>
        </w:tc>
        <w:tc>
          <w:tcPr/>
          <w:p>
            <w:pPr>
              <w:pStyle w:val="Compact"/>
            </w:pPr>
            <w:r>
              <w:t xml:space="preserve">borne optimiste, non opérationnelle</w:t>
            </w:r>
          </w:p>
        </w:tc>
        <w:tc>
          <w:tcPr/>
          <w:p>
            <w:pPr>
              <w:pStyle w:val="Compact"/>
            </w:pPr>
            <w:r>
              <w:t xml:space="preserve">traité comme opérationnel</w:t>
            </w:r>
          </w:p>
        </w:tc>
      </w:tr>
      <w:tr>
        <w:tc>
          <w:tcPr/>
          <w:p>
            <w:pPr>
              <w:pStyle w:val="Compact"/>
            </w:pPr>
            <w:r>
              <w:t xml:space="preserve">Message clé</w:t>
            </w:r>
          </w:p>
        </w:tc>
        <w:tc>
          <w:tcPr/>
          <w:p>
            <w:pPr>
              <w:pStyle w:val="Compact"/>
            </w:pPr>
            <w:r>
              <w:t xml:space="preserve">au-delà de 2 jours, rien ne bat la normale</w:t>
            </w:r>
          </w:p>
        </w:tc>
        <w:tc>
          <w:tcPr/>
          <w:p>
            <w:pPr>
              <w:pStyle w:val="Compact"/>
            </w:pPr>
            <w:r>
              <w:t xml:space="preserve">absent</w:t>
            </w:r>
          </w:p>
        </w:tc>
      </w:tr>
      <w:tr>
        <w:tc>
          <w:tcPr/>
          <w:p>
            <w:pPr>
              <w:pStyle w:val="Compact"/>
            </w:pPr>
            <w:r>
              <w:t xml:space="preserve">Intervalles</w:t>
            </w:r>
          </w:p>
        </w:tc>
        <w:tc>
          <w:tcPr/>
          <w:p>
            <w:pPr>
              <w:pStyle w:val="Compact"/>
            </w:pPr>
            <w:r>
              <w:t xml:space="preserve">calibrés par saison</w:t>
            </w:r>
          </w:p>
        </w:tc>
        <w:tc>
          <w:tcPr/>
          <w:p>
            <w:pPr>
              <w:pStyle w:val="Compact"/>
            </w:pPr>
            <w:r>
              <w:t xml:space="preserve">marge arbitraire de ± 15 %</w:t>
            </w:r>
          </w:p>
        </w:tc>
      </w:tr>
      <w:tr>
        <w:tc>
          <w:tcPr/>
          <w:p>
            <w:pPr>
              <w:pStyle w:val="Compact"/>
            </w:pPr>
            <w:r>
              <w:t xml:space="preserve">Données simulées</w:t>
            </w:r>
          </w:p>
        </w:tc>
        <w:tc>
          <w:tcPr/>
          <w:p>
            <w:pPr>
              <w:pStyle w:val="Compact"/>
            </w:pPr>
            <w:r>
              <w:t xml:space="preserve">limite principale</w:t>
            </w:r>
          </w:p>
        </w:tc>
        <w:tc>
          <w:tcPr/>
          <w:p>
            <w:pPr>
              <w:pStyle w:val="Compact"/>
            </w:pPr>
            <w:r>
              <w:t xml:space="preserve">limite bien relevée</w:t>
            </w:r>
          </w:p>
        </w:tc>
      </w:tr>
    </w:tbl>
    <w:p>
      <w:pPr>
        <w:pStyle w:val="BodyText"/>
      </w:pPr>
      <w:r>
        <w:t xml:space="preserve">Le LLM converge avec nous sur ce qui se voit à la lecture : la météo est la variable décisive, l’hiver est plus incertain, les données sont simulées, la variance doit être modélisée. Il diverge sur tout ce qui demande d’interpréter un test, de respecter une définition ou de comparer deux chiffres. Ses erreurs sont de trois natures :</w:t>
      </w:r>
      <w:r>
        <w:t xml:space="preserve"> </w:t>
      </w:r>
      <w:r>
        <w:rPr>
          <w:b/>
          <w:bCs/>
        </w:rPr>
        <w:t xml:space="preserve">hallucinations statistiques</w:t>
      </w:r>
      <w:r>
        <w:t xml:space="preserve"> </w:t>
      </w:r>
      <w:r>
        <w:t xml:space="preserve">(tests lus à l’envers, corrélations inventées),</w:t>
      </w:r>
      <w:r>
        <w:t xml:space="preserve"> </w:t>
      </w:r>
      <w:r>
        <w:rPr>
          <w:b/>
          <w:bCs/>
        </w:rPr>
        <w:t xml:space="preserve">causalités et qualités non démontrées</w:t>
      </w:r>
      <w:r>
        <w:t xml:space="preserve"> </w:t>
      </w:r>
      <w:r>
        <w:t xml:space="preserve">(« robuste », « fonctionne bien en hiver »), et</w:t>
      </w:r>
      <w:r>
        <w:t xml:space="preserve"> </w:t>
      </w:r>
      <w:r>
        <w:rPr>
          <w:b/>
          <w:bCs/>
        </w:rPr>
        <w:t xml:space="preserve">oubli des définitions du prompt</w:t>
      </w:r>
      <w:r>
        <w:t xml:space="preserve"> </w:t>
      </w:r>
      <w:r>
        <w:t xml:space="preserve">(ex post).</w:t>
      </w:r>
    </w:p>
    <w:bookmarkEnd w:id="83"/>
    <w:bookmarkStart w:id="84" w:name="bilan"/>
    <w:p>
      <w:pPr>
        <w:pStyle w:val="Heading2"/>
      </w:pPr>
      <w:r>
        <w:t xml:space="preserve">7.6 Bilan</w:t>
      </w:r>
    </w:p>
    <w:p>
      <w:pPr>
        <w:pStyle w:val="Compact"/>
        <w:numPr>
          <w:ilvl w:val="0"/>
          <w:numId w:val="1019"/>
        </w:numPr>
      </w:pPr>
      <w:r>
        <w:rPr>
          <w:b/>
          <w:bCs/>
        </w:rPr>
        <w:t xml:space="preserve">Ce que le LLM a apporté :</w:t>
      </w:r>
      <w:r>
        <w:t xml:space="preserve"> </w:t>
      </w:r>
      <w:r>
        <w:t xml:space="preserve">une première liste d’hypothèses et un texte lisible en moins d’une minute chacun, et deux limites que nous n’avions pas formulées explicitement (dégradation des modules, rentabilité). C’est un brouillon et une liste de contrôle, pas une analyse.</w:t>
      </w:r>
    </w:p>
    <w:p>
      <w:pPr>
        <w:pStyle w:val="Compact"/>
        <w:numPr>
          <w:ilvl w:val="0"/>
          <w:numId w:val="1019"/>
        </w:numPr>
      </w:pPr>
      <w:r>
        <w:rPr>
          <w:b/>
          <w:bCs/>
        </w:rPr>
        <w:t xml:space="preserve">Ce qu’il n’a pas su faire :</w:t>
      </w:r>
      <w:r>
        <w:t xml:space="preserve"> </w:t>
      </w:r>
      <w:r>
        <w:t xml:space="preserve">lire correctement deux tests de stationnarité, garder la définition d’« ex post » d’un bout à l’autre, voir qu’un MAE de 0,83 contre 0,86 n’est pas un gain, distinguer un MAPE d’un intervalle.</w:t>
      </w:r>
    </w:p>
    <w:p>
      <w:pPr>
        <w:pStyle w:val="Compact"/>
        <w:numPr>
          <w:ilvl w:val="0"/>
          <w:numId w:val="1019"/>
        </w:numPr>
      </w:pPr>
      <w:r>
        <w:rPr>
          <w:b/>
          <w:bCs/>
        </w:rPr>
        <w:t xml:space="preserve">Ce qui marche mieux :</w:t>
      </w:r>
      <w:r>
        <w:t xml:space="preserve"> </w:t>
      </w:r>
      <w:r>
        <w:t xml:space="preserve">dans l’assistant RAG (section 8.3), un LLM ne répond qu’à partir de passages retrouvés (sur 16 questions de test, le bon passage figure toujours parmi les quatre transmis au LLM) et cite ses sources : chaque chiffre de sa réponse est vérifiable d’un clic.</w:t>
      </w:r>
    </w:p>
    <w:bookmarkEnd w:id="84"/>
    <w:bookmarkEnd w:id="85"/>
    <w:bookmarkStart w:id="95" w:name="extensions"/>
    <w:p>
      <w:pPr>
        <w:pStyle w:val="Heading1"/>
      </w:pPr>
      <w:r>
        <w:t xml:space="preserve">8. Extensions</w:t>
      </w:r>
    </w:p>
    <w:p>
      <w:pPr>
        <w:pStyle w:val="FirstParagraph"/>
      </w:pPr>
      <w:r>
        <w:t xml:space="preserve">Deux des trois extensions proposées par l’énoncé sont traitées : les variables exogènes (météo, aérosols, grandeurs astronomiques : sections 3.7, 4.1 et 5) et la corrélation dynamique (8.1). La troisième, la détection d’événements par embeddings de texte, n’a pas été réalisée : la série étudiée est une simulation physique à puissance installée constante, sans rupture liée à l’actualité, et nous ne disposons pas d’un corpus d’actualités daté qui lui corresponde.</w:t>
      </w:r>
    </w:p>
    <w:bookmarkStart w:id="89" w:name="corrélation-dynamique-entre-pays"/>
    <w:p>
      <w:pPr>
        <w:pStyle w:val="Heading2"/>
      </w:pPr>
      <w:r>
        <w:t xml:space="preserve">8.1 Corrélation dynamique entre pays</w:t>
      </w:r>
    </w:p>
    <w:p>
      <w:pPr>
        <w:pStyle w:val="CaptionedFigure"/>
      </w:pPr>
      <w:r>
        <w:drawing>
          <wp:inline>
            <wp:extent cx="5039999" cy="1567058"/>
            <wp:effectExtent b="0" l="0" r="0" t="0"/>
            <wp:docPr descr="Corrélation glissante (90 jours) des anomalies de production avec Tunis" title="" id="87" name="Picture"/>
            <a:graphic>
              <a:graphicData uri="http://schemas.openxmlformats.org/drawingml/2006/picture">
                <pic:pic>
                  <pic:nvPicPr>
                    <pic:cNvPr descr="../figures/17_correlation_dynamique.png" id="88" name="Picture"/>
                    <pic:cNvPicPr>
                      <a:picLocks noChangeArrowheads="1" noChangeAspect="1"/>
                    </pic:cNvPicPr>
                  </pic:nvPicPr>
                  <pic:blipFill>
                    <a:blip r:embed="rId86"/>
                    <a:stretch>
                      <a:fillRect/>
                    </a:stretch>
                  </pic:blipFill>
                  <pic:spPr bwMode="auto">
                    <a:xfrm>
                      <a:off x="0" y="0"/>
                      <a:ext cx="5039999" cy="1567058"/>
                    </a:xfrm>
                    <a:prstGeom prst="rect">
                      <a:avLst/>
                    </a:prstGeom>
                    <a:noFill/>
                    <a:ln w="9525">
                      <a:noFill/>
                      <a:headEnd/>
                      <a:tailEnd/>
                    </a:ln>
                  </pic:spPr>
                </pic:pic>
              </a:graphicData>
            </a:graphic>
          </wp:inline>
        </w:drawing>
      </w:r>
    </w:p>
    <w:p>
      <w:pPr>
        <w:pStyle w:val="ImageCaption"/>
      </w:pPr>
      <w:r>
        <w:t xml:space="preserve">Corrélation glissante (90 jours) des anomalies de production avec Tunis</w:t>
      </w:r>
    </w:p>
    <w:p>
      <w:pPr>
        <w:pStyle w:val="BodyText"/>
      </w:pPr>
      <w:r>
        <w:t xml:space="preserve">Le même jour, Tunis et Tozeur (370 km) partagent une partie de leur météo (corrélation de 0,28 en hiver à 0,40 en été) ; avec Séville, Marseille et Paris, la corrélation fluctue autour de zéro. Un portefeuille d’installations réparti entre les trois pays lisserait donc fortement la production journalière. La corrélation glissante varie beaucoup : les épisodes communs sont ponctuels, ce qu’une corrélation statique masquerait.</w:t>
      </w:r>
    </w:p>
    <w:bookmarkEnd w:id="89"/>
    <w:bookmarkStart w:id="93" w:name="validation-externe-des-données-pvgis"/>
    <w:p>
      <w:pPr>
        <w:pStyle w:val="Heading2"/>
      </w:pPr>
      <w:r>
        <w:t xml:space="preserve">8.2 Validation externe des données PVGIS</w:t>
      </w:r>
    </w:p>
    <w:p>
      <w:pPr>
        <w:pStyle w:val="FirstParagraph"/>
      </w:pPr>
      <w:r>
        <w:t xml:space="preserve">Une fois retirée la croissance du parc (division par la moyenne glissante sur 365 jours), la moyenne des trois villes PVGIS suit la production nationale mesurée avec une corrélation journalière de</w:t>
      </w:r>
      <w:r>
        <w:t xml:space="preserve"> </w:t>
      </w:r>
      <w:r>
        <w:rPr>
          <w:b/>
          <w:bCs/>
        </w:rPr>
        <w:t xml:space="preserve">0,91 en France</w:t>
      </w:r>
      <w:r>
        <w:t xml:space="preserve"> </w:t>
      </w:r>
      <w:r>
        <w:t xml:space="preserve">et de</w:t>
      </w:r>
      <w:r>
        <w:t xml:space="preserve"> </w:t>
      </w:r>
      <w:r>
        <w:rPr>
          <w:b/>
          <w:bCs/>
        </w:rPr>
        <w:t xml:space="preserve">0,87 en Espagne</w:t>
      </w:r>
      <w:r>
        <w:t xml:space="preserve"> </w:t>
      </w:r>
      <w:r>
        <w:t xml:space="preserve">(2016-2023). Les données satellitaires de tout le projet décrivent donc bien le terrain. La corrélation espagnole baisse en 2023 (0,72) ; deux hypothèses, non tranchées par nos données : croissance très rapide du parc cette année-là et écrêtement de la production aux heures de prix bas.</w:t>
      </w:r>
    </w:p>
    <w:p>
      <w:pPr>
        <w:pStyle w:val="CaptionedFigure"/>
      </w:pPr>
      <w:r>
        <w:drawing>
          <wp:inline>
            <wp:extent cx="5039999" cy="1521902"/>
            <wp:effectExtent b="0" l="0" r="0" t="0"/>
            <wp:docPr descr="Validation externe : PVGIS face à RTE et REE" title="" id="91" name="Picture"/>
            <a:graphic>
              <a:graphicData uri="http://schemas.openxmlformats.org/drawingml/2006/picture">
                <pic:pic>
                  <pic:nvPicPr>
                    <pic:cNvPr descr="../figures/18_validation_externe.png" id="92" name="Picture"/>
                    <pic:cNvPicPr>
                      <a:picLocks noChangeArrowheads="1" noChangeAspect="1"/>
                    </pic:cNvPicPr>
                  </pic:nvPicPr>
                  <pic:blipFill>
                    <a:blip r:embed="rId90"/>
                    <a:stretch>
                      <a:fillRect/>
                    </a:stretch>
                  </pic:blipFill>
                  <pic:spPr bwMode="auto">
                    <a:xfrm>
                      <a:off x="0" y="0"/>
                      <a:ext cx="5039999" cy="1521902"/>
                    </a:xfrm>
                    <a:prstGeom prst="rect">
                      <a:avLst/>
                    </a:prstGeom>
                    <a:noFill/>
                    <a:ln w="9525">
                      <a:noFill/>
                      <a:headEnd/>
                      <a:tailEnd/>
                    </a:ln>
                  </pic:spPr>
                </pic:pic>
              </a:graphicData>
            </a:graphic>
          </wp:inline>
        </w:drawing>
      </w:r>
    </w:p>
    <w:p>
      <w:pPr>
        <w:pStyle w:val="ImageCaption"/>
      </w:pPr>
      <w:r>
        <w:t xml:space="preserve">Validation externe : PVGIS face à RTE et REE</w:t>
      </w:r>
    </w:p>
    <w:bookmarkEnd w:id="93"/>
    <w:bookmarkStart w:id="94" w:name="application-web-et-assistant-rag"/>
    <w:p>
      <w:pPr>
        <w:pStyle w:val="Heading2"/>
      </w:pPr>
      <w:r>
        <w:t xml:space="preserve">8.3 Application web et assistant RAG</w:t>
      </w:r>
    </w:p>
    <w:p>
      <w:pPr>
        <w:pStyle w:val="FirstParagraph"/>
      </w:pPr>
      <w:r>
        <w:t xml:space="preserve">Une application (FastAPI et React, non demandée par l’énoncé) met les modèles à disposition. La page d’accueil est un formulaire : ville et pays, grandeur (production ou éclairement), modèle (LSTM global, ARIMA-Fourier, climatologie, persistance), date d’origine, horizon de 1 à 10 jours, puissance installée et consommation, et</w:t>
      </w:r>
      <w:r>
        <w:t xml:space="preserve"> </w:t>
      </w:r>
      <w:r>
        <w:rPr>
          <w:b/>
          <w:bCs/>
        </w:rPr>
        <w:t xml:space="preserve">les 14 derniers jours observés, pré-remplis et modifiables</w:t>
      </w:r>
      <w:r>
        <w:t xml:space="preserve"> </w:t>
      </w:r>
      <w:r>
        <w:t xml:space="preserve">: l’utilisateur peut y saisir les relevés de sa propre installation, y compris au-delà de 2023. La réponse donne la prévision, un intervalle (empirique pour le LSTM), l’écart à la normale, l’erreur moyenne du modèle sur le test, et un texte rédigé. Les modèles servis sont réentraînés sur les 9 villes (script</w:t>
      </w:r>
      <w:r>
        <w:t xml:space="preserve"> </w:t>
      </w:r>
      <w:r>
        <w:rPr>
          <w:rStyle w:val="VerbatimChar"/>
        </w:rPr>
        <w:t xml:space="preserve">python/entrainer_modeles_app.py</w:t>
      </w:r>
      <w:r>
        <w:t xml:space="preserve">) : RMSE moyen à 1-7 jours de 1,159 kWh/kWc pour le LSTM global, 1,162 pour l’ARIMA, 1,181 pour la climatologie.</w:t>
      </w:r>
    </w:p>
    <w:p>
      <w:pPr>
        <w:pStyle w:val="BodyText"/>
      </w:pPr>
      <w:r>
        <w:t xml:space="preserve">L’assistant est un</w:t>
      </w:r>
      <w:r>
        <w:t xml:space="preserve"> </w:t>
      </w:r>
      <w:r>
        <w:rPr>
          <w:b/>
          <w:bCs/>
        </w:rPr>
        <w:t xml:space="preserve">RAG simple</w:t>
      </w:r>
      <w:r>
        <w:t xml:space="preserve"> </w:t>
      </w:r>
      <w:r>
        <w:t xml:space="preserve">: recherche BM25 dans un corpus de 236 passages (fiches des jeux de données, fiches statistiques par ville calculées sur les données, résultats de l’étude, texte de ce rapport, méthode PVGIS, glossaire, résumés des articles du rapport SolarVision), puis rédaction par un LLM hébergé (API Groq, modèle</w:t>
      </w:r>
      <w:r>
        <w:t xml:space="preserve"> </w:t>
      </w:r>
      <w:r>
        <w:rPr>
          <w:rStyle w:val="VerbatimChar"/>
        </w:rPr>
        <w:t xml:space="preserve">openai/gpt-oss-120b</w:t>
      </w:r>
      <w:r>
        <w:t xml:space="preserve">, température 0) avec citation des sources ; sans clé ou sans réseau, la réponse est extractive. Une question de prévision (« combien produira 3 kWc à Tunis les 5 prochains jours ? ») déclenche le LSTM et transmet sa prévision au LLM. L’ensemble se lance avec</w:t>
      </w:r>
      <w:r>
        <w:t xml:space="preserve"> </w:t>
      </w:r>
      <w:r>
        <w:rPr>
          <w:rStyle w:val="VerbatimChar"/>
        </w:rPr>
        <w:t xml:space="preserve">docker compose up --build</w:t>
      </w:r>
      <w:r>
        <w:t xml:space="preserve">.</w:t>
      </w:r>
    </w:p>
    <w:p>
      <w:pPr>
        <w:pStyle w:val="TableCaption"/>
      </w:pPr>
      <w:r>
        <w:t xml:space="preserve">Évaluation de la recherche du RAG : bon passage en tête 69 % des cas, parmi les 4 transmis au LLM 100 %.</w:t>
      </w:r>
    </w:p>
    <w:tbl>
      <w:tblPr>
        <w:tblStyle w:val="Table"/>
        <w:tblW w:type="pct" w:w="5000"/>
        <w:tblLayout w:type="fixed"/>
        <w:tblLook w:firstRow="1" w:lastRow="0" w:firstColumn="0" w:lastColumn="0" w:noHBand="0" w:noVBand="0" w:val="0020"/>
        <w:tblCaption w:val="Évaluation de la recherche du RAG : bon passage en tête 69 % des cas, parmi les 4 transmis au LLM 100 %."/>
      </w:tblPr>
      <w:tblGrid>
        <w:gridCol w:w="3960"/>
        <w:gridCol w:w="3960"/>
      </w:tblGrid>
      <w:tr>
        <w:trPr>
          <w:tblHeader w:val="on"/>
        </w:trPr>
        <w:tc>
          <w:tcPr/>
          <w:p>
            <w:pPr>
              <w:pStyle w:val="Compact"/>
            </w:pPr>
            <w:r>
              <w:t xml:space="preserve">Question de test</w:t>
            </w:r>
          </w:p>
        </w:tc>
        <w:tc>
          <w:tcPr/>
          <w:p>
            <w:pPr>
              <w:pStyle w:val="Compact"/>
            </w:pPr>
            <w:r>
              <w:t xml:space="preserve">Rang du bon passage</w:t>
            </w:r>
          </w:p>
        </w:tc>
      </w:tr>
      <w:tr>
        <w:tc>
          <w:tcPr/>
          <w:p>
            <w:pPr>
              <w:pStyle w:val="Compact"/>
            </w:pPr>
            <w:r>
              <w:t xml:space="preserve">Quelle ville produit le plus d’électricité solaire par kWc ?</w:t>
            </w:r>
          </w:p>
        </w:tc>
        <w:tc>
          <w:tcPr/>
          <w:p>
            <w:pPr>
              <w:pStyle w:val="Compact"/>
            </w:pPr>
            <w:r>
              <w:t xml:space="preserve">1</w:t>
            </w:r>
          </w:p>
        </w:tc>
      </w:tr>
      <w:tr>
        <w:tc>
          <w:tcPr/>
          <w:p>
            <w:pPr>
              <w:pStyle w:val="Compact"/>
            </w:pPr>
            <w:r>
              <w:t xml:space="preserve">Quelle est la production photovoltaïque moyenne en décembre à Paris ?</w:t>
            </w:r>
          </w:p>
        </w:tc>
        <w:tc>
          <w:tcPr/>
          <w:p>
            <w:pPr>
              <w:pStyle w:val="Compact"/>
            </w:pPr>
            <w:r>
              <w:t xml:space="preserve">1</w:t>
            </w:r>
          </w:p>
        </w:tc>
      </w:tr>
      <w:tr>
        <w:tc>
          <w:tcPr/>
          <w:p>
            <w:pPr>
              <w:pStyle w:val="Compact"/>
            </w:pPr>
            <w:r>
              <w:t xml:space="preserve">Combien produit 1 kWc à Tunis par an ?</w:t>
            </w:r>
          </w:p>
        </w:tc>
        <w:tc>
          <w:tcPr/>
          <w:p>
            <w:pPr>
              <w:pStyle w:val="Compact"/>
            </w:pPr>
            <w:r>
              <w:t xml:space="preserve">1</w:t>
            </w:r>
          </w:p>
        </w:tc>
      </w:tr>
      <w:tr>
        <w:tc>
          <w:tcPr/>
          <w:p>
            <w:pPr>
              <w:pStyle w:val="Compact"/>
            </w:pPr>
            <w:r>
              <w:t xml:space="preserve">Quelle est la pente optimale des modules à Séville ?</w:t>
            </w:r>
          </w:p>
        </w:tc>
        <w:tc>
          <w:tcPr/>
          <w:p>
            <w:pPr>
              <w:pStyle w:val="Compact"/>
            </w:pPr>
            <w:r>
              <w:t xml:space="preserve">1</w:t>
            </w:r>
          </w:p>
        </w:tc>
      </w:tr>
      <w:tr>
        <w:tc>
          <w:tcPr/>
          <w:p>
            <w:pPr>
              <w:pStyle w:val="Compact"/>
            </w:pPr>
            <w:r>
              <w:t xml:space="preserve">Combien d’heures de lumière naturelle par jour en hiver à Tozeur ?</w:t>
            </w:r>
          </w:p>
        </w:tc>
        <w:tc>
          <w:tcPr/>
          <w:p>
            <w:pPr>
              <w:pStyle w:val="Compact"/>
            </w:pPr>
            <w:r>
              <w:t xml:space="preserve">1</w:t>
            </w:r>
          </w:p>
        </w:tc>
      </w:tr>
      <w:tr>
        <w:tc>
          <w:tcPr/>
          <w:p>
            <w:pPr>
              <w:pStyle w:val="Compact"/>
            </w:pPr>
            <w:r>
              <w:t xml:space="preserve">Quel est le meilleur modèle de prévision sans météo ?</w:t>
            </w:r>
          </w:p>
        </w:tc>
        <w:tc>
          <w:tcPr/>
          <w:p>
            <w:pPr>
              <w:pStyle w:val="Compact"/>
            </w:pPr>
            <w:r>
              <w:t xml:space="preserve">3</w:t>
            </w:r>
          </w:p>
        </w:tc>
      </w:tr>
      <w:tr>
        <w:tc>
          <w:tcPr/>
          <w:p>
            <w:pPr>
              <w:pStyle w:val="Compact"/>
            </w:pPr>
            <w:r>
              <w:t xml:space="preserve">Comment PVGIS calcule-t-il la production photovoltaïque ?</w:t>
            </w:r>
          </w:p>
        </w:tc>
        <w:tc>
          <w:tcPr/>
          <w:p>
            <w:pPr>
              <w:pStyle w:val="Compact"/>
            </w:pPr>
            <w:r>
              <w:t xml:space="preserve">1</w:t>
            </w:r>
          </w:p>
        </w:tc>
      </w:tr>
      <w:tr>
        <w:tc>
          <w:tcPr/>
          <w:p>
            <w:pPr>
              <w:pStyle w:val="Compact"/>
            </w:pPr>
            <w:r>
              <w:t xml:space="preserve">D’où viennent les données de rayonnement de PVGIS ?</w:t>
            </w:r>
          </w:p>
        </w:tc>
        <w:tc>
          <w:tcPr/>
          <w:p>
            <w:pPr>
              <w:pStyle w:val="Compact"/>
            </w:pPr>
            <w:r>
              <w:t xml:space="preserve">4</w:t>
            </w:r>
          </w:p>
        </w:tc>
      </w:tr>
      <w:tr>
        <w:tc>
          <w:tcPr/>
          <w:p>
            <w:pPr>
              <w:pStyle w:val="Compact"/>
            </w:pPr>
            <w:r>
              <w:t xml:space="preserve">Qu’est-ce que le test KPSS ?</w:t>
            </w:r>
          </w:p>
        </w:tc>
        <w:tc>
          <w:tcPr/>
          <w:p>
            <w:pPr>
              <w:pStyle w:val="Compact"/>
            </w:pPr>
            <w:r>
              <w:t xml:space="preserve">1</w:t>
            </w:r>
          </w:p>
        </w:tc>
      </w:tr>
      <w:tr>
        <w:tc>
          <w:tcPr/>
          <w:p>
            <w:pPr>
              <w:pStyle w:val="Compact"/>
            </w:pPr>
            <w:r>
              <w:t xml:space="preserve">Que signifie la causalité de Granger ?</w:t>
            </w:r>
          </w:p>
        </w:tc>
        <w:tc>
          <w:tcPr/>
          <w:p>
            <w:pPr>
              <w:pStyle w:val="Compact"/>
            </w:pPr>
            <w:r>
              <w:t xml:space="preserve">1</w:t>
            </w:r>
          </w:p>
        </w:tc>
      </w:tr>
      <w:tr>
        <w:tc>
          <w:tcPr/>
          <w:p>
            <w:pPr>
              <w:pStyle w:val="Compact"/>
            </w:pPr>
            <w:r>
              <w:t xml:space="preserve">Qu’est-ce qu’un modèle GARCH ?</w:t>
            </w:r>
          </w:p>
        </w:tc>
        <w:tc>
          <w:tcPr/>
          <w:p>
            <w:pPr>
              <w:pStyle w:val="Compact"/>
            </w:pPr>
            <w:r>
              <w:t xml:space="preserve">1</w:t>
            </w:r>
          </w:p>
        </w:tc>
      </w:tr>
      <w:tr>
        <w:tc>
          <w:tcPr/>
          <w:p>
            <w:pPr>
              <w:pStyle w:val="Compact"/>
            </w:pPr>
            <w:r>
              <w:t xml:space="preserve">Quelle production moyenne en juillet en Espagne ?</w:t>
            </w:r>
          </w:p>
        </w:tc>
        <w:tc>
          <w:tcPr/>
          <w:p>
            <w:pPr>
              <w:pStyle w:val="Compact"/>
            </w:pPr>
            <w:r>
              <w:t xml:space="preserve">1</w:t>
            </w:r>
          </w:p>
        </w:tc>
      </w:tr>
      <w:tr>
        <w:tc>
          <w:tcPr/>
          <w:p>
            <w:pPr>
              <w:pStyle w:val="Compact"/>
            </w:pPr>
            <w:r>
              <w:t xml:space="preserve">Que contient le jeu de données tn_eclairement_journalier.csv ?</w:t>
            </w:r>
          </w:p>
        </w:tc>
        <w:tc>
          <w:tcPr/>
          <w:p>
            <w:pPr>
              <w:pStyle w:val="Compact"/>
            </w:pPr>
            <w:r>
              <w:t xml:space="preserve">1</w:t>
            </w:r>
          </w:p>
        </w:tc>
      </w:tr>
      <w:tr>
        <w:tc>
          <w:tcPr/>
          <w:p>
            <w:pPr>
              <w:pStyle w:val="Compact"/>
            </w:pPr>
            <w:r>
              <w:t xml:space="preserve">Que mesure la variable besoin_eclairage_h ?</w:t>
            </w:r>
          </w:p>
        </w:tc>
        <w:tc>
          <w:tcPr/>
          <w:p>
            <w:pPr>
              <w:pStyle w:val="Compact"/>
            </w:pPr>
            <w:r>
              <w:t xml:space="preserve">2</w:t>
            </w:r>
          </w:p>
        </w:tc>
      </w:tr>
      <w:tr>
        <w:tc>
          <w:tcPr/>
          <w:p>
            <w:pPr>
              <w:pStyle w:val="Compact"/>
            </w:pPr>
            <w:r>
              <w:t xml:space="preserve">Quelle irradiation le rapport SolarVision supposait-il à Tunis ?</w:t>
            </w:r>
          </w:p>
        </w:tc>
        <w:tc>
          <w:tcPr/>
          <w:p>
            <w:pPr>
              <w:pStyle w:val="Compact"/>
            </w:pPr>
            <w:r>
              <w:t xml:space="preserve">3</w:t>
            </w:r>
          </w:p>
        </w:tc>
      </w:tr>
      <w:tr>
        <w:tc>
          <w:tcPr/>
          <w:p>
            <w:pPr>
              <w:pStyle w:val="Compact"/>
            </w:pPr>
            <w:r>
              <w:t xml:space="preserve">Pourquoi certains jours PVGIS ont-ils été imputés ?</w:t>
            </w:r>
          </w:p>
        </w:tc>
        <w:tc>
          <w:tcPr/>
          <w:p>
            <w:pPr>
              <w:pStyle w:val="Compact"/>
            </w:pPr>
            <w:r>
              <w:t xml:space="preserve">3</w:t>
            </w:r>
          </w:p>
        </w:tc>
      </w:tr>
    </w:tbl>
    <w:p>
      <w:pPr>
        <w:pStyle w:val="BodyText"/>
      </w:pPr>
      <w:r>
        <w:t xml:space="preserve">Avec la rédaction par le LLM (</w:t>
      </w:r>
      <w:r>
        <w:rPr>
          <w:rStyle w:val="VerbatimChar"/>
        </w:rPr>
        <w:t xml:space="preserve">resultats/rag_evaluation_llm.csv</w:t>
      </w:r>
      <w:r>
        <w:t xml:space="preserve">), les 16 réponses citent leurs sources et sont exactes à la relecture ; le mot-clé attendu figure dans 15 d’entre elles (la seizième donne « 1 585 kWh par an » là où l’on attendait « kWh/kWc »). Deux réserves. Les synonymes du moteur ont été réglés sur ces mêmes questions : ces taux sont donc optimistes pour des questions nouvelles. Et à la question du meilleur modèle sans météo, le LLM répond « LSTM global, modèle recommandé » : le RMSE cité est juste, mais notre recommandation (section 6) est le VAR, pour son interprétabilité ; le LLM confond le plus petit RMSE et le meilleur choix.</w:t>
      </w:r>
    </w:p>
    <w:bookmarkEnd w:id="94"/>
    <w:bookmarkEnd w:id="95"/>
    <w:bookmarkStart w:id="98" w:name="discussion-critique"/>
    <w:p>
      <w:pPr>
        <w:pStyle w:val="Heading1"/>
      </w:pPr>
      <w:r>
        <w:t xml:space="preserve">9. Discussion critique</w:t>
      </w:r>
    </w:p>
    <w:bookmarkStart w:id="96" w:name="limites-des-modèles-et-des-données"/>
    <w:p>
      <w:pPr>
        <w:pStyle w:val="Heading2"/>
      </w:pPr>
      <w:r>
        <w:t xml:space="preserve">9.1 Limites des modèles et des données</w:t>
      </w:r>
    </w:p>
    <w:p>
      <w:pPr>
        <w:pStyle w:val="Compact"/>
        <w:numPr>
          <w:ilvl w:val="0"/>
          <w:numId w:val="1020"/>
        </w:numPr>
      </w:pPr>
      <w:r>
        <w:rPr>
          <w:b/>
          <w:bCs/>
        </w:rPr>
        <w:t xml:space="preserve">Données simulées.</w:t>
      </w:r>
      <w:r>
        <w:t xml:space="preserve"> </w:t>
      </w:r>
      <w:r>
        <w:t xml:space="preserve">Le rayonnement est estimé par satellite et la production simulée pour une installation théorique, sans pannes, ombrages locaux ni salissures variables ; la validation externe (r = 0,91 et 0,87) rassure sur la météo, pas sur le comportement d’une installation réelle. Les trous de la base satellitaire ont dû être corrigés.</w:t>
      </w:r>
    </w:p>
    <w:p>
      <w:pPr>
        <w:pStyle w:val="Compact"/>
        <w:numPr>
          <w:ilvl w:val="0"/>
          <w:numId w:val="1020"/>
        </w:numPr>
      </w:pPr>
      <w:r>
        <w:rPr>
          <w:b/>
          <w:bCs/>
        </w:rPr>
        <w:t xml:space="preserve">Ex post n’est pas une prévision.</w:t>
      </w:r>
      <w:r>
        <w:t xml:space="preserve"> </w:t>
      </w:r>
      <w:r>
        <w:t xml:space="preserve">Les modèles ex post utilisent la météo observée ; avec une vraie prévision météo, leur erreur se situerait entre 0,70 et 1,08 kWh/kWc, et seule une évaluation avec des prévisions archivées le dirait.</w:t>
      </w:r>
    </w:p>
    <w:p>
      <w:pPr>
        <w:pStyle w:val="Compact"/>
        <w:numPr>
          <w:ilvl w:val="0"/>
          <w:numId w:val="1020"/>
        </w:numPr>
      </w:pPr>
      <w:r>
        <w:rPr>
          <w:b/>
          <w:bCs/>
        </w:rPr>
        <w:t xml:space="preserve">Hypothèses violées.</w:t>
      </w:r>
      <w:r>
        <w:t xml:space="preserve"> </w:t>
      </w:r>
      <w:r>
        <w:t xml:space="preserve">Résidus non gaussiens et asymétriques : les intervalles gaussiens sont approximatifs ; la variance n’est bien décrite qu’après retrait de sa composante saisonnière. La nébulosité ERA5 est une réanalyse et situe mal certains nuages.</w:t>
      </w:r>
    </w:p>
    <w:p>
      <w:pPr>
        <w:pStyle w:val="Compact"/>
        <w:numPr>
          <w:ilvl w:val="0"/>
          <w:numId w:val="1020"/>
        </w:numPr>
      </w:pPr>
      <w:r>
        <w:rPr>
          <w:b/>
          <w:bCs/>
        </w:rPr>
        <w:t xml:space="preserve">Faible prévisibilité intrinsèque.</w:t>
      </w:r>
      <w:r>
        <w:t xml:space="preserve"> </w:t>
      </w:r>
      <w:r>
        <w:t xml:space="preserve">L’AR(1) de 0,26 borne ce que tout modèle ex ante peut faire : les écarts entre modèles (moins de 2 %) sont faibles devant l’incertitude, et les réseaux n’ont rien pu apprendre de plus. Le choix entre modèles se fait donc sur l’interprétabilité, le coût et les intervalles.</w:t>
      </w:r>
    </w:p>
    <w:p>
      <w:pPr>
        <w:pStyle w:val="Compact"/>
        <w:numPr>
          <w:ilvl w:val="0"/>
          <w:numId w:val="1020"/>
        </w:numPr>
      </w:pPr>
      <w:r>
        <w:rPr>
          <w:b/>
          <w:bCs/>
        </w:rPr>
        <w:t xml:space="preserve">Une seule période de test</w:t>
      </w:r>
      <w:r>
        <w:t xml:space="preserve"> </w:t>
      </w:r>
      <w:r>
        <w:t xml:space="preserve">(2022-2023) et une seule ville principale ; le LSTM global et le tableau par ville de l’application montrent toutefois que les conclusions valent pour les huit autres villes.</w:t>
      </w:r>
    </w:p>
    <w:p>
      <w:pPr>
        <w:pStyle w:val="Compact"/>
        <w:numPr>
          <w:ilvl w:val="0"/>
          <w:numId w:val="1020"/>
        </w:numPr>
      </w:pPr>
      <w:r>
        <w:rPr>
          <w:b/>
          <w:bCs/>
        </w:rPr>
        <w:t xml:space="preserve">Tendance non interprétée.</w:t>
      </w:r>
      <w:r>
        <w:t xml:space="preserve"> </w:t>
      </w:r>
      <w:r>
        <w:t xml:space="preserve">La légère hausse de la production (+0,2 % par an) n’est pas distinguable d’une dérive du capteur satellitaire.</w:t>
      </w:r>
    </w:p>
    <w:bookmarkEnd w:id="96"/>
    <w:bookmarkStart w:id="97" w:name="Xd456f086635d2075a729f3fcc3f86a89651f2ec"/>
    <w:p>
      <w:pPr>
        <w:pStyle w:val="Heading2"/>
      </w:pPr>
      <w:r>
        <w:t xml:space="preserve">9.2 IA générative et séries temporelles : avantages et inconvénients</w:t>
      </w:r>
    </w:p>
    <w:p>
      <w:pPr>
        <w:pStyle w:val="FirstParagraph"/>
      </w:pPr>
      <w:r>
        <w:rPr>
          <w:b/>
          <w:bCs/>
        </w:rPr>
        <w:t xml:space="preserve">Avantages.</w:t>
      </w:r>
    </w:p>
    <w:p>
      <w:pPr>
        <w:pStyle w:val="Compact"/>
        <w:numPr>
          <w:ilvl w:val="0"/>
          <w:numId w:val="1021"/>
        </w:numPr>
      </w:pPr>
      <w:r>
        <w:rPr>
          <w:b/>
          <w:bCs/>
        </w:rPr>
        <w:t xml:space="preserve">Accélérer les tâches périphériques :</w:t>
      </w:r>
      <w:r>
        <w:t xml:space="preserve"> </w:t>
      </w:r>
      <w:r>
        <w:t xml:space="preserve">liste d’hypothèses, reformulation pour un non-spécialiste, documentation, squelette de code de collecte. Le gain de temps est réel tant qu’un humain vérifie.</w:t>
      </w:r>
    </w:p>
    <w:p>
      <w:pPr>
        <w:pStyle w:val="Compact"/>
        <w:numPr>
          <w:ilvl w:val="0"/>
          <w:numId w:val="1021"/>
        </w:numPr>
      </w:pPr>
      <w:r>
        <w:rPr>
          <w:b/>
          <w:bCs/>
        </w:rPr>
        <w:t xml:space="preserve">Relecteur naïf :</w:t>
      </w:r>
      <w:r>
        <w:t xml:space="preserve"> </w:t>
      </w:r>
      <w:r>
        <w:t xml:space="preserve">ses contresens (lecture des tests, statut de l’ex post) montrent où une définition doit être rendue explicite pour un lecteur non statisticien.</w:t>
      </w:r>
    </w:p>
    <w:p>
      <w:pPr>
        <w:pStyle w:val="Compact"/>
        <w:numPr>
          <w:ilvl w:val="0"/>
          <w:numId w:val="1021"/>
        </w:numPr>
      </w:pPr>
      <w:r>
        <w:rPr>
          <w:b/>
          <w:bCs/>
        </w:rPr>
        <w:t xml:space="preserve">Interface en langage naturel sur des résultats complexes :</w:t>
      </w:r>
      <w:r>
        <w:t xml:space="preserve"> </w:t>
      </w:r>
      <w:r>
        <w:t xml:space="preserve">un RAG ancré sur nos propres fiches et résultats permet d’interroger l’étude (« quelle ville produit le plus en hiver ? ») avec des sources vérifiables, et de déclencher un modèle de prévision à partir d’une question.</w:t>
      </w:r>
    </w:p>
    <w:p>
      <w:pPr>
        <w:pStyle w:val="Compact"/>
        <w:numPr>
          <w:ilvl w:val="0"/>
          <w:numId w:val="1021"/>
        </w:numPr>
      </w:pPr>
      <w:r>
        <w:rPr>
          <w:b/>
          <w:bCs/>
        </w:rPr>
        <w:t xml:space="preserve">Données textuelles :</w:t>
      </w:r>
      <w:r>
        <w:t xml:space="preserve"> </w:t>
      </w:r>
      <w:r>
        <w:t xml:space="preserve">résumés d’articles, actualités ou rapports pourraient servir à détecter des événements (épisodes de poussières, pannes) et à les relier aux ruptures des séries.</w:t>
      </w:r>
    </w:p>
    <w:p>
      <w:pPr>
        <w:pStyle w:val="FirstParagraph"/>
      </w:pPr>
      <w:r>
        <w:rPr>
          <w:b/>
          <w:bCs/>
        </w:rPr>
        <w:t xml:space="preserve">Inconvénients.</w:t>
      </w:r>
    </w:p>
    <w:p>
      <w:pPr>
        <w:pStyle w:val="Compact"/>
        <w:numPr>
          <w:ilvl w:val="0"/>
          <w:numId w:val="1022"/>
        </w:numPr>
      </w:pPr>
      <w:r>
        <w:rPr>
          <w:b/>
          <w:bCs/>
        </w:rPr>
        <w:t xml:space="preserve">Hallucination statistique :</w:t>
      </w:r>
      <w:r>
        <w:t xml:space="preserve"> </w:t>
      </w:r>
      <w:r>
        <w:t xml:space="preserve">p-values lues à l’envers, chiffres inventés, qualités attribuées sans preuve. Le danger vient de l’assurance du ton : rien ne distingue, dans la forme, une affirmation vraie d’une affirmation fausse.</w:t>
      </w:r>
    </w:p>
    <w:p>
      <w:pPr>
        <w:pStyle w:val="Compact"/>
        <w:numPr>
          <w:ilvl w:val="0"/>
          <w:numId w:val="1022"/>
        </w:numPr>
      </w:pPr>
      <w:r>
        <w:rPr>
          <w:b/>
          <w:bCs/>
        </w:rPr>
        <w:t xml:space="preserve">Cohérence logique faible :</w:t>
      </w:r>
      <w:r>
        <w:t xml:space="preserve"> </w:t>
      </w:r>
      <w:r>
        <w:t xml:space="preserve">le LLM optimise la plausibilité du discours, pas le respect des définitions ; il peut se contredire d’un paragraphe à l’autre.</w:t>
      </w:r>
    </w:p>
    <w:p>
      <w:pPr>
        <w:pStyle w:val="Compact"/>
        <w:numPr>
          <w:ilvl w:val="0"/>
          <w:numId w:val="1022"/>
        </w:numPr>
      </w:pPr>
      <w:r>
        <w:rPr>
          <w:b/>
          <w:bCs/>
        </w:rPr>
        <w:t xml:space="preserve">Pas de sens des ordres de grandeur sans calcul explicite :</w:t>
      </w:r>
      <w:r>
        <w:t xml:space="preserve"> </w:t>
      </w:r>
      <w:r>
        <w:t xml:space="preserve">un écart de 0,03 kWh/kWc n’est pas reconnu comme négligeable ; un MAPE devient une marge d’erreur.</w:t>
      </w:r>
    </w:p>
    <w:p>
      <w:pPr>
        <w:pStyle w:val="Compact"/>
        <w:numPr>
          <w:ilvl w:val="0"/>
          <w:numId w:val="1022"/>
        </w:numPr>
      </w:pPr>
      <w:r>
        <w:rPr>
          <w:b/>
          <w:bCs/>
        </w:rPr>
        <w:t xml:space="preserve">Reproductibilité et versions :</w:t>
      </w:r>
      <w:r>
        <w:t xml:space="preserve"> </w:t>
      </w:r>
      <w:r>
        <w:t xml:space="preserve">température 0 et graine fixées ici, mais la réponse dépend du modèle et de sa version ; un modèle local de 8 milliards de paramètres (section 7) est moins capable qu’un grand modèle hébergé, en échange de données qui restent sur la machine. À l’inverse, l’assistant RAG passe par une API hébergée : réponse en une seconde, mais la question et les passages quittent la machine, et le service dépend d’une clé et d’un quota.</w:t>
      </w:r>
    </w:p>
    <w:p>
      <w:pPr>
        <w:pStyle w:val="Compact"/>
        <w:numPr>
          <w:ilvl w:val="0"/>
          <w:numId w:val="1022"/>
        </w:numPr>
      </w:pPr>
      <w:r>
        <w:rPr>
          <w:b/>
          <w:bCs/>
        </w:rPr>
        <w:t xml:space="preserve">Responsabilité :</w:t>
      </w:r>
      <w:r>
        <w:t xml:space="preserve"> </w:t>
      </w:r>
      <w:r>
        <w:t xml:space="preserve">un texte de LLM recopié sans relecture engage son auteur sur des erreurs qu’il n’a pas vues.</w:t>
      </w:r>
    </w:p>
    <w:p>
      <w:pPr>
        <w:pStyle w:val="FirstParagraph"/>
      </w:pPr>
      <w:r>
        <w:rPr>
          <w:b/>
          <w:bCs/>
        </w:rPr>
        <w:t xml:space="preserve">Bonnes pratiques retenues :</w:t>
      </w:r>
      <w:r>
        <w:t xml:space="preserve"> </w:t>
      </w:r>
      <w:r>
        <w:t xml:space="preserve">rédiger sa propre interprétation avant ; fournir les chiffres dans le prompt ; demander au LLM de formuler les limites, puis les compléter ; vérifier chaque nombre et chaque test cité ; ancrer les réponses par récupération de passages avec citation des sources ; ne jamais laisser le LLM choisir seul le modèle à déployer.</w:t>
      </w:r>
    </w:p>
    <w:bookmarkEnd w:id="97"/>
    <w:bookmarkEnd w:id="98"/>
    <w:bookmarkStart w:id="99" w:name="conclusion"/>
    <w:p>
      <w:pPr>
        <w:pStyle w:val="Heading1"/>
      </w:pPr>
      <w:r>
        <w:t xml:space="preserve">10. Conclusion</w:t>
      </w:r>
    </w:p>
    <w:p>
      <w:pPr>
        <w:pStyle w:val="FirstParagraph"/>
      </w:pPr>
      <w:r>
        <w:t xml:space="preserve">La production photovoltaïque journalière de Tunis se prévoit à un ou deux jours un peu mieux que la normale saisonnière (7 à 10 % à un jour), mais pas au-delà : une fois le cycle annuel retiré, la météo d’un jour ne renseigne presque pas sur celle de la semaine suivante. La météo à venir est la variable décisive : elle réduit l’erreur d’un tiers, et c’est la qualité de la prévision météo qui limitera tout système opérationnel. Les réseaux de neurones, même entraînés sur neuf villes, n’apportent qu’un gain marginal ; un VAR ou un SARIMAX bien diagnostiqués font presque aussi bien en restant lisibles et en fournissant des intervalles calibrés, à condition de modéliser la variance saisonnière des erreurs.</w:t>
      </w:r>
    </w:p>
    <w:p>
      <w:pPr>
        <w:pStyle w:val="BodyText"/>
      </w:pPr>
      <w:r>
        <w:t xml:space="preserve">Pour le projet SolarVision, l’apport est concret : un productible fiable par ville (1 585 kWh/kWc/an à Tunis, soit 142 m² et non 156 pour 45 MWh/an), 14 jeux de données documentés et une application qui transforme la surface détectée par la vision en production attendue jour par jour.</w:t>
      </w:r>
    </w:p>
    <w:p>
      <w:pPr>
        <w:pStyle w:val="BodyText"/>
      </w:pPr>
      <w:r>
        <w:rPr>
          <w:b/>
          <w:bCs/>
        </w:rPr>
        <w:t xml:space="preserve">Prolongements.</w:t>
      </w:r>
      <w:r>
        <w:t xml:space="preserve"> </w:t>
      </w:r>
      <w:r>
        <w:t xml:space="preserve">Évaluer les modèles avec des prévisions météo archivées ; passer au pas horaire, où les réseaux ont davantage de données ; ajouter les mesures d’une installation réelle à Tunis ; relier l’application au module de segmentation de toitures de SolarVision.</w:t>
      </w:r>
    </w:p>
    <w:bookmarkEnd w:id="99"/>
    <w:bookmarkStart w:id="107" w:name="X3d511c77f048f6cbf0ac8c4cee38943ebd66acc"/>
    <w:p>
      <w:pPr>
        <w:pStyle w:val="Heading1"/>
      </w:pPr>
      <w:r>
        <w:t xml:space="preserve">Annexe A. Prompts et réponses du LLM (texte intégral)</w:t>
      </w:r>
    </w:p>
    <w:p>
      <w:pPr>
        <w:pStyle w:val="FirstParagraph"/>
      </w:pPr>
      <w:r>
        <w:t xml:space="preserve">Modèle :</w:t>
      </w:r>
      <w:r>
        <w:t xml:space="preserve"> </w:t>
      </w:r>
      <w:r>
        <w:rPr>
          <w:rStyle w:val="VerbatimChar"/>
        </w:rPr>
        <w:t xml:space="preserve">qwen3-vl:8b-instruct</w:t>
      </w:r>
      <w:r>
        <w:t xml:space="preserve"> </w:t>
      </w:r>
      <w:r>
        <w:t xml:space="preserve">(Ollama, local), température 0, graine 42. Les erreurs relevées en section 7 sont laissées telles quelles.</w:t>
      </w:r>
    </w:p>
    <w:bookmarkStart w:id="103" w:name="Xaf6a7efd60e19c5201c2b8afe2ee6d719eafc2a"/>
    <w:p>
      <w:pPr>
        <w:pStyle w:val="Heading2"/>
      </w:pPr>
      <w:r>
        <w:t xml:space="preserve">A.1 Interprétation experte rédigée avant les prompts</w:t>
      </w:r>
    </w:p>
    <w:p>
      <w:pPr>
        <w:pStyle w:val="FirstParagraph"/>
      </w:pPr>
      <w:r>
        <w:t xml:space="preserve">Ce texte fixe notre propre lecture des résultats</w:t>
      </w:r>
      <w:r>
        <w:t xml:space="preserve"> </w:t>
      </w:r>
      <w:r>
        <w:rPr>
          <w:b/>
          <w:bCs/>
        </w:rPr>
        <w:t xml:space="preserve">avant</w:t>
      </w:r>
      <w:r>
        <w:t xml:space="preserve"> </w:t>
      </w:r>
      <w:r>
        <w:t xml:space="preserve">l’envoi des prompts au LLM (section 5 de</w:t>
      </w:r>
      <w:r>
        <w:t xml:space="preserve"> </w:t>
      </w:r>
      <w:r>
        <w:t xml:space="preserve">l’énoncé), pour pouvoir comparer ensuite les deux interprétations sans être influencés par la réponse</w:t>
      </w:r>
      <w:r>
        <w:t xml:space="preserve"> </w:t>
      </w:r>
      <w:r>
        <w:t xml:space="preserve">de la machine. Les chiffres viennent du notebook Python (</w:t>
      </w:r>
      <w:r>
        <w:rPr>
          <w:rStyle w:val="VerbatimChar"/>
        </w:rPr>
        <w:t xml:space="preserve">resultats/py_metriques.csv</w:t>
      </w:r>
      <w:r>
        <w:t xml:space="preserve"> </w:t>
      </w:r>
      <w:r>
        <w:t xml:space="preserve">et suivants).</w:t>
      </w:r>
    </w:p>
    <w:bookmarkStart w:id="100" w:name="X13c380bae61317931822964c0fb19a48c3a4b4f"/>
    <w:p>
      <w:pPr>
        <w:pStyle w:val="Heading3"/>
      </w:pPr>
      <w:r>
        <w:t xml:space="preserve">1. Hypothèses de modèles à partir des statistiques descriptives (pendant du prompt 1)</w:t>
      </w:r>
    </w:p>
    <w:p>
      <w:pPr>
        <w:pStyle w:val="Compact"/>
        <w:numPr>
          <w:ilvl w:val="0"/>
          <w:numId w:val="1023"/>
        </w:numPr>
      </w:pPr>
      <w:r>
        <w:t xml:space="preserve">La série est dominée par un</w:t>
      </w:r>
      <w:r>
        <w:t xml:space="preserve"> </w:t>
      </w:r>
      <w:r>
        <w:rPr>
          <w:b/>
          <w:bCs/>
        </w:rPr>
        <w:t xml:space="preserve">cycle annuel déterministe</w:t>
      </w:r>
      <w:r>
        <w:t xml:space="preserve"> </w:t>
      </w:r>
      <w:r>
        <w:t xml:space="preserve">: ACF de 0,33 au retard 365 et de -0,31 au</w:t>
      </w:r>
      <w:r>
        <w:t xml:space="preserve"> </w:t>
      </w:r>
      <w:r>
        <w:t xml:space="preserve">retard 182, production moyenne de 3,06 kWh/kWc par jour en décembre contre 5,43 en juillet. Ce cycle</w:t>
      </w:r>
      <w:r>
        <w:t xml:space="preserve"> </w:t>
      </w:r>
      <w:r>
        <w:t xml:space="preserve">se modélise par des termes de Fourier (ou des normales journalières) et non par une différence</w:t>
      </w:r>
      <w:r>
        <w:t xml:space="preserve"> </w:t>
      </w:r>
      <w:r>
        <w:t xml:space="preserve">saisonnière de retard 365, impraticable (état de plus de 365 dimensions, 17 cycles seulement).</w:t>
      </w:r>
    </w:p>
    <w:p>
      <w:pPr>
        <w:pStyle w:val="Compact"/>
        <w:numPr>
          <w:ilvl w:val="0"/>
          <w:numId w:val="1023"/>
        </w:numPr>
      </w:pPr>
      <w:r>
        <w:t xml:space="preserve">Les tests ADF et KPSS concluent tous deux à la stationnarité en niveau :</w:t>
      </w:r>
      <w:r>
        <w:t xml:space="preserve"> </w:t>
      </w:r>
      <w:r>
        <w:rPr>
          <w:b/>
          <w:bCs/>
        </w:rPr>
        <w:t xml:space="preserve">d = 0</w:t>
      </w:r>
      <w:r>
        <w:t xml:space="preserve">. Différencier</w:t>
      </w:r>
      <w:r>
        <w:t xml:space="preserve"> </w:t>
      </w:r>
      <w:r>
        <w:t xml:space="preserve">créerait une autocorrélation négative artificielle (ACF de -0,37 au retard 1 après différence).</w:t>
      </w:r>
    </w:p>
    <w:p>
      <w:pPr>
        <w:pStyle w:val="Compact"/>
        <w:numPr>
          <w:ilvl w:val="0"/>
          <w:numId w:val="1023"/>
        </w:numPr>
      </w:pPr>
      <w:r>
        <w:t xml:space="preserve">Une fois le cycle retiré, il reste un</w:t>
      </w:r>
      <w:r>
        <w:t xml:space="preserve"> </w:t>
      </w:r>
      <w:r>
        <w:rPr>
          <w:b/>
          <w:bCs/>
        </w:rPr>
        <w:t xml:space="preserve">AR(1) faible</w:t>
      </w:r>
      <w:r>
        <w:t xml:space="preserve"> </w:t>
      </w:r>
      <w:r>
        <w:t xml:space="preserve">(ACF de 0,26 au retard 1, PACF coupée ensuite) :</w:t>
      </w:r>
      <w:r>
        <w:t xml:space="preserve"> </w:t>
      </w:r>
      <w:r>
        <w:t xml:space="preserve">la prévisibilité au-delà de deux jours sera très faible sans information météo.</w:t>
      </w:r>
    </w:p>
    <w:p>
      <w:pPr>
        <w:pStyle w:val="Compact"/>
        <w:numPr>
          <w:ilvl w:val="0"/>
          <w:numId w:val="1023"/>
        </w:numPr>
      </w:pPr>
      <w:r>
        <w:t xml:space="preserve">La variance est</w:t>
      </w:r>
      <w:r>
        <w:t xml:space="preserve"> </w:t>
      </w:r>
      <w:r>
        <w:rPr>
          <w:b/>
          <w:bCs/>
        </w:rPr>
        <w:t xml:space="preserve">plus forte en hiver qu’en été</w:t>
      </w:r>
      <w:r>
        <w:t xml:space="preserve"> </w:t>
      </w:r>
      <w:r>
        <w:t xml:space="preserve">(écart-type de 1,53 en mars contre 0,41 en juillet)</w:t>
      </w:r>
      <w:r>
        <w:t xml:space="preserve"> </w:t>
      </w:r>
      <w:r>
        <w:t xml:space="preserve">et la distribution est asymétrique à gauche : un logarithme serait contre-indiqué ; il faut un modèle</w:t>
      </w:r>
      <w:r>
        <w:t xml:space="preserve"> </w:t>
      </w:r>
      <w:r>
        <w:t xml:space="preserve">de variance saisonnière ou conditionnelle (GARCH), et des intervalles non gaussiens.</w:t>
      </w:r>
    </w:p>
    <w:p>
      <w:pPr>
        <w:pStyle w:val="Compact"/>
        <w:numPr>
          <w:ilvl w:val="0"/>
          <w:numId w:val="1023"/>
        </w:numPr>
      </w:pPr>
      <w:r>
        <w:t xml:space="preserve">Modèles à tester : ARIMA(1,0,0) à termes de Fourier ; SARIMAX avec nébulosité, pluie et aérosols ;</w:t>
      </w:r>
      <w:r>
        <w:t xml:space="preserve"> </w:t>
      </w:r>
      <w:r>
        <w:t xml:space="preserve">VAR (production, nébulosité, température) ; GARCH sur les erreurs, avec une variance saisonnière ;</w:t>
      </w:r>
      <w:r>
        <w:t xml:space="preserve"> </w:t>
      </w:r>
      <w:r>
        <w:t xml:space="preserve">réseaux récurrents en écart à la normale ; deux références, persistance et climatologie.</w:t>
      </w:r>
    </w:p>
    <w:p>
      <w:pPr>
        <w:pStyle w:val="Compact"/>
        <w:numPr>
          <w:ilvl w:val="0"/>
          <w:numId w:val="1023"/>
        </w:numPr>
      </w:pPr>
      <w:r>
        <w:t xml:space="preserve">Pièges : prendre l’irradiation PVGIS comme variable explicative (tautologique, la production en est</w:t>
      </w:r>
      <w:r>
        <w:t xml:space="preserve"> </w:t>
      </w:r>
      <w:r>
        <w:t xml:space="preserve">calculée), lire le MAPE alors que certains jours valent moins de 0,5 kWh/kWc, appliquer la</w:t>
      </w:r>
      <w:r>
        <w:t xml:space="preserve"> </w:t>
      </w:r>
      <w:r>
        <w:t xml:space="preserve">cointégration à des séries stationnaires, oublier que les données sont simulées par satellite.</w:t>
      </w:r>
    </w:p>
    <w:bookmarkEnd w:id="100"/>
    <w:bookmarkStart w:id="101" w:name="Xf173e687003a4d73f56fa8fc0dcf6eea28c7867"/>
    <w:p>
      <w:pPr>
        <w:pStyle w:val="Heading3"/>
      </w:pPr>
      <w:r>
        <w:t xml:space="preserve">2. Explication pour un décideur (pendant du prompt 2)</w:t>
      </w:r>
    </w:p>
    <w:p>
      <w:pPr>
        <w:pStyle w:val="FirstParagraph"/>
      </w:pPr>
      <w:r>
        <w:t xml:space="preserve">Sans prévision météo, on ne sait pas faire beaucoup mieux que « la normale de la saison » : le meilleur</w:t>
      </w:r>
      <w:r>
        <w:t xml:space="preserve"> </w:t>
      </w:r>
      <w:r>
        <w:t xml:space="preserve">modèle (un réseau de neurones entraîné sur 9 villes) se trompe en moyenne de 0,83 kWh/kWc par jour,</w:t>
      </w:r>
      <w:r>
        <w:t xml:space="preserve"> </w:t>
      </w:r>
      <w:r>
        <w:t xml:space="preserve">contre 0,86 pour la simple normale, et ce petit gain ne vaut que pour le lendemain et le surlendemain.</w:t>
      </w:r>
      <w:r>
        <w:t xml:space="preserve"> </w:t>
      </w:r>
      <w:r>
        <w:t xml:space="preserve">La météo d’un jour à Tunis renseigne peu sur celle de la semaine suivante. Avec une prévision météo</w:t>
      </w:r>
      <w:r>
        <w:t xml:space="preserve"> </w:t>
      </w:r>
      <w:r>
        <w:t xml:space="preserve">(nébulosité, pluie, poussières), l’erreur baisse d’un tiers (0,55 kWh/kWc pour le modèle statistique,</w:t>
      </w:r>
      <w:r>
        <w:t xml:space="preserve"> </w:t>
      </w:r>
      <w:r>
        <w:t xml:space="preserve">0,50 pour le réseau de neurones). Nous recommandons le modèle statistique avec météo (SARIMAX) : presque</w:t>
      </w:r>
      <w:r>
        <w:t xml:space="preserve"> </w:t>
      </w:r>
      <w:r>
        <w:t xml:space="preserve">aussi précis que le réseau, il explique ses prévisions (une poussière saharienne d’épaisseur optique 1</w:t>
      </w:r>
      <w:r>
        <w:t xml:space="preserve"> </w:t>
      </w:r>
      <w:r>
        <w:t xml:space="preserve">coûte environ 1 kWh/kWc, soit 20 % d’une journée) et donne une fourchette fiable. L’incertitude est</w:t>
      </w:r>
      <w:r>
        <w:t xml:space="preserve"> </w:t>
      </w:r>
      <w:r>
        <w:t xml:space="preserve">plus forte de novembre à avril : les fourchettes doivent être plus larges l’hiver.</w:t>
      </w:r>
    </w:p>
    <w:bookmarkEnd w:id="101"/>
    <w:bookmarkStart w:id="102" w:name="X173264933ecf39ffee4905ace9444932225f7ce"/>
    <w:p>
      <w:pPr>
        <w:pStyle w:val="Heading3"/>
      </w:pPr>
      <w:r>
        <w:t xml:space="preserve">3. Recommandations et limites (pendant du prompt 3)</w:t>
      </w:r>
    </w:p>
    <w:p>
      <w:pPr>
        <w:pStyle w:val="Compact"/>
        <w:numPr>
          <w:ilvl w:val="0"/>
          <w:numId w:val="1024"/>
        </w:numPr>
      </w:pPr>
      <w:r>
        <w:rPr>
          <w:b/>
          <w:bCs/>
        </w:rPr>
        <w:t xml:space="preserve">Planifier la maintenance et le nettoyage les jours prévus les moins productifs</w:t>
      </w:r>
      <w:r>
        <w:t xml:space="preserve"> </w:t>
      </w:r>
      <w:r>
        <w:t xml:space="preserve">(perte évitée</w:t>
      </w:r>
      <w:r>
        <w:t xml:space="preserve"> </w:t>
      </w:r>
      <w:r>
        <w:t xml:space="preserve">maximale), en priorité au printemps, quand les poussières et les pluies alternent. Limite : la</w:t>
      </w:r>
      <w:r>
        <w:t xml:space="preserve"> </w:t>
      </w:r>
      <w:r>
        <w:t xml:space="preserve">prévision au-delà de deux jours ne vaut pas mieux que la normale ; il faut une prévision météo.</w:t>
      </w:r>
    </w:p>
    <w:p>
      <w:pPr>
        <w:pStyle w:val="Compact"/>
        <w:numPr>
          <w:ilvl w:val="0"/>
          <w:numId w:val="1024"/>
        </w:numPr>
      </w:pPr>
      <w:r>
        <w:rPr>
          <w:b/>
          <w:bCs/>
        </w:rPr>
        <w:t xml:space="preserve">Piloter la batterie avec la prévision à un jour</w:t>
      </w:r>
      <w:r>
        <w:t xml:space="preserve"> </w:t>
      </w:r>
      <w:r>
        <w:t xml:space="preserve">: charger moins sur le réseau la veille d’une</w:t>
      </w:r>
      <w:r>
        <w:t xml:space="preserve"> </w:t>
      </w:r>
      <w:r>
        <w:t xml:space="preserve">journée prévue claire. Limite : erreur de 1 kWh/kWc environ un jour sur trois en hiver ; garder une</w:t>
      </w:r>
      <w:r>
        <w:t xml:space="preserve"> </w:t>
      </w:r>
      <w:r>
        <w:t xml:space="preserve">marge de sécurité saisonnière (fourchettes du modèle GARCH saisonnier).</w:t>
      </w:r>
    </w:p>
    <w:p>
      <w:pPr>
        <w:pStyle w:val="Compact"/>
        <w:numPr>
          <w:ilvl w:val="0"/>
          <w:numId w:val="1024"/>
        </w:numPr>
      </w:pPr>
      <w:r>
        <w:rPr>
          <w:b/>
          <w:bCs/>
        </w:rPr>
        <w:t xml:space="preserve">Ne pas s’engager auprès du réseau au-delà de J+2 sur une prévision statistique seule.</w:t>
      </w:r>
      <w:r>
        <w:t xml:space="preserve"> </w:t>
      </w:r>
      <w:r>
        <w:t xml:space="preserve">Limite :</w:t>
      </w:r>
      <w:r>
        <w:t xml:space="preserve"> </w:t>
      </w:r>
      <w:r>
        <w:t xml:space="preserve">les intervalles constants sont trop étroits l’hiver (93 % de couverture au lieu de 95 %).</w:t>
      </w:r>
    </w:p>
    <w:p>
      <w:pPr>
        <w:pStyle w:val="Compact"/>
        <w:numPr>
          <w:ilvl w:val="0"/>
          <w:numId w:val="1024"/>
        </w:numPr>
      </w:pPr>
      <w:r>
        <w:rPr>
          <w:b/>
          <w:bCs/>
        </w:rPr>
        <w:t xml:space="preserve">Dimensionner avec PVGIS et non avec l’hypothèse du rapport SolarVision</w:t>
      </w:r>
      <w:r>
        <w:t xml:space="preserve"> </w:t>
      </w:r>
      <w:r>
        <w:t xml:space="preserve">(1 585 kWh/kWc/an à Tunis,</w:t>
      </w:r>
      <w:r>
        <w:t xml:space="preserve"> </w:t>
      </w:r>
      <w:r>
        <w:t xml:space="preserve">soit 142 m² au lieu de 156 m² pour 45 MWh/an). Limite : rayonnement satellitaire, installation</w:t>
      </w:r>
      <w:r>
        <w:t xml:space="preserve"> </w:t>
      </w:r>
      <w:r>
        <w:t xml:space="preserve">théorique sans pannes ni ombrages locaux.</w:t>
      </w:r>
    </w:p>
    <w:p>
      <w:pPr>
        <w:pStyle w:val="FirstParagraph"/>
      </w:pPr>
      <w:r>
        <w:t xml:space="preserve">Ce que les résultats</w:t>
      </w:r>
      <w:r>
        <w:t xml:space="preserve"> </w:t>
      </w:r>
      <w:r>
        <w:rPr>
          <w:b/>
          <w:bCs/>
        </w:rPr>
        <w:t xml:space="preserve">ne permettent pas</w:t>
      </w:r>
      <w:r>
        <w:t xml:space="preserve"> </w:t>
      </w:r>
      <w:r>
        <w:t xml:space="preserve">de conclure : la performance d’une installation réelle</w:t>
      </w:r>
      <w:r>
        <w:t xml:space="preserve"> </w:t>
      </w:r>
      <w:r>
        <w:t xml:space="preserve">(données simulées), l’apport d’une vraie prévision météo (le modèle ex post utilise la météo observée),</w:t>
      </w:r>
      <w:r>
        <w:t xml:space="preserve"> </w:t>
      </w:r>
      <w:r>
        <w:t xml:space="preserve">une tendance de long terme de la production (+0,2 % par an, non distinguable d’une dérive satellitaire),</w:t>
      </w:r>
      <w:r>
        <w:t xml:space="preserve"> </w:t>
      </w:r>
      <w:r>
        <w:t xml:space="preserve">ni un lien de cause à effet entre villes (la causalité de Granger mesure la prévisibilité).</w:t>
      </w:r>
    </w:p>
    <w:bookmarkEnd w:id="102"/>
    <w:bookmarkEnd w:id="103"/>
    <w:bookmarkStart w:id="104" w:name="a.2-prompt-1---hypothèses-de-modèles"/>
    <w:p>
      <w:pPr>
        <w:pStyle w:val="Heading2"/>
      </w:pPr>
      <w:r>
        <w:t xml:space="preserve">A.2 Prompt 1 - hypothèses de modèles</w:t>
      </w:r>
    </w:p>
    <w:p>
      <w:pPr>
        <w:pStyle w:val="SourceCode"/>
      </w:pPr>
      <w:r>
        <w:rPr>
          <w:rStyle w:val="VerbatimChar"/>
        </w:rPr>
        <w:t xml:space="preserve">Tu es un statisticien spécialiste des séries temporelles. Voici les statistiques descriptives d'une série journalière, sans autre information sur les modèles déjà essayés.</w:t>
      </w:r>
      <w:r>
        <w:br/>
      </w:r>
      <w:r>
        <w:br/>
      </w:r>
      <w:r>
        <w:rPr>
          <w:rStyle w:val="VerbatimChar"/>
        </w:rPr>
        <w:t xml:space="preserve">Série : production photovoltaïque journalière simulée par PVGIS pour 1 kWc installé à Tunis (kWh/kWc), du 2005-01-01 au 2022-02-05 (6245 observations). Séries associées : éclairement horizontal, nébulosité, température, pluie, aérosols.</w:t>
      </w:r>
      <w:r>
        <w:br/>
      </w:r>
      <w:r>
        <w:br/>
      </w:r>
      <w:r>
        <w:rPr>
          <w:rStyle w:val="VerbatimChar"/>
        </w:rPr>
        <w:t xml:space="preserve">Statistiques descriptives :</w:t>
      </w:r>
      <w:r>
        <w:br/>
      </w:r>
      <w:r>
        <w:rPr>
          <w:rStyle w:val="VerbatimChar"/>
        </w:rPr>
        <w:t xml:space="preserve">                  moyenne  écart-type  variance    min      max  skewness  kurtosis (excès)</w:t>
      </w:r>
      <w:r>
        <w:br/>
      </w:r>
      <w:r>
        <w:rPr>
          <w:rStyle w:val="VerbatimChar"/>
        </w:rPr>
        <w:t xml:space="preserve">pv_kwh_kwc          4.295       1.402     1.965  0.211    6.427    -0.815            -0.277</w:t>
      </w:r>
      <w:r>
        <w:br/>
      </w:r>
      <w:r>
        <w:rPr>
          <w:rStyle w:val="VerbatimChar"/>
        </w:rPr>
        <w:t xml:space="preserve">ghi_kwh_m2          4.947       2.258     5.098  0.419    8.970     0.068            -1.322</w:t>
      </w:r>
      <w:r>
        <w:br/>
      </w:r>
      <w:r>
        <w:rPr>
          <w:rStyle w:val="VerbatimChar"/>
        </w:rPr>
        <w:t xml:space="preserve">nebulosite_pct     38.295      27.333   747.107  0.000  100.000     0.356            -0.887</w:t>
      </w:r>
      <w:r>
        <w:br/>
      </w:r>
      <w:r>
        <w:rPr>
          <w:rStyle w:val="VerbatimChar"/>
        </w:rPr>
        <w:t xml:space="preserve">t2m_moy_c          18.712       6.062    36.743  4.908   36.027     0.158            -1.103</w:t>
      </w:r>
      <w:r>
        <w:br/>
      </w:r>
      <w:r>
        <w:rPr>
          <w:rStyle w:val="VerbatimChar"/>
        </w:rPr>
        <w:t xml:space="preserve">precipitation_mm    1.159       3.556    12.648  0.000   78.900     6.815            78.351</w:t>
      </w:r>
      <w:r>
        <w:br/>
      </w:r>
      <w:r>
        <w:rPr>
          <w:rStyle w:val="VerbatimChar"/>
        </w:rPr>
        <w:t xml:space="preserve">aerosols_aod        0.245       0.195     0.038  0.030    2.830     3.348            20.031</w:t>
      </w:r>
      <w:r>
        <w:br/>
      </w:r>
      <w:r>
        <w:br/>
      </w:r>
      <w:r>
        <w:rPr>
          <w:rStyle w:val="VerbatimChar"/>
        </w:rPr>
        <w:t xml:space="preserve">Production moyenne par mois (kWh/kWc/jour) : [3.2, 3.67, 4.23, 4.73, 4.99, 5.21, 5.43, 5.22, 4.45, 3.98, 3.4, 3.06]</w:t>
      </w:r>
      <w:r>
        <w:br/>
      </w:r>
      <w:r>
        <w:rPr>
          <w:rStyle w:val="VerbatimChar"/>
        </w:rPr>
        <w:t xml:space="preserve">Écart-type par mois : [1.25, 1.35, 1.53, 1.41, 1.25, 0.85, 0.41, 0.69, 1.1, 1.18, 1.17, 1.15]</w:t>
      </w:r>
      <w:r>
        <w:br/>
      </w:r>
      <w:r>
        <w:rPr>
          <w:rStyle w:val="VerbatimChar"/>
        </w:rPr>
        <w:t xml:space="preserve">Autocorrélation de la production aux retards 1, 2, 7, 30, 182, 365 : [0.512, 0.388, 0.325, 0.283, -0.311, 0.329]</w:t>
      </w:r>
      <w:r>
        <w:br/>
      </w:r>
      <w:r>
        <w:rPr>
          <w:rStyle w:val="VerbatimChar"/>
        </w:rPr>
        <w:t xml:space="preserve">Autocorrélation de la série désaisonnalisée aux retards 1 à 7 : [0.26, 0.073, 0.032, 0.042, 0.03, 0.01, -0.019]</w:t>
      </w:r>
      <w:r>
        <w:br/>
      </w:r>
      <w:r>
        <w:br/>
      </w:r>
      <w:r>
        <w:rPr>
          <w:rStyle w:val="VerbatimChar"/>
        </w:rPr>
        <w:t xml:space="preserve">Tests de stationnarité (ADF : H0 = racine unitaire ; KPSS : H0 = stationnarité) :</w:t>
      </w:r>
      <w:r>
        <w:br/>
      </w:r>
      <w:r>
        <w:rPr>
          <w:rStyle w:val="VerbatimChar"/>
        </w:rPr>
        <w:t xml:space="preserve">                                            ADF stat  ADF p  KPSS stat  KPSS p</w:t>
      </w:r>
      <w:r>
        <w:br/>
      </w:r>
      <w:r>
        <w:rPr>
          <w:rStyle w:val="VerbatimChar"/>
        </w:rPr>
        <w:t xml:space="preserve">série                                                                         </w:t>
      </w:r>
      <w:r>
        <w:br/>
      </w:r>
      <w:r>
        <w:rPr>
          <w:rStyle w:val="VerbatimChar"/>
        </w:rPr>
        <w:t xml:space="preserve">production                                    -5.844    0.0      0.027  0.1000</w:t>
      </w:r>
      <w:r>
        <w:br/>
      </w:r>
      <w:r>
        <w:rPr>
          <w:rStyle w:val="VerbatimChar"/>
        </w:rPr>
        <w:t xml:space="preserve">production - diff. ordre 1                   -24.060    0.0      0.013  0.1000</w:t>
      </w:r>
      <w:r>
        <w:br/>
      </w:r>
      <w:r>
        <w:rPr>
          <w:rStyle w:val="VerbatimChar"/>
        </w:rPr>
        <w:t xml:space="preserve">production - désaisonnalisée (Fourier)       -34.770    0.0      0.392  0.0808</w:t>
      </w:r>
      <w:r>
        <w:br/>
      </w:r>
      <w:r>
        <w:rPr>
          <w:rStyle w:val="VerbatimChar"/>
        </w:rPr>
        <w:t xml:space="preserve">nébulosité                                    -7.406    0.0      0.042  0.1000</w:t>
      </w:r>
      <w:r>
        <w:br/>
      </w:r>
      <w:r>
        <w:rPr>
          <w:rStyle w:val="VerbatimChar"/>
        </w:rPr>
        <w:t xml:space="preserve">nébulosité - diff. ordre 1                   -24.443    0.0      0.030  0.1000</w:t>
      </w:r>
      <w:r>
        <w:br/>
      </w:r>
      <w:r>
        <w:rPr>
          <w:rStyle w:val="VerbatimChar"/>
        </w:rPr>
        <w:t xml:space="preserve">nébulosité - désaisonnalisée (Fourier)       -28.700    0.0      0.181  0.1000</w:t>
      </w:r>
      <w:r>
        <w:br/>
      </w:r>
      <w:r>
        <w:rPr>
          <w:rStyle w:val="VerbatimChar"/>
        </w:rPr>
        <w:t xml:space="preserve">température                                   -5.497    0.0      0.062  0.1000</w:t>
      </w:r>
      <w:r>
        <w:br/>
      </w:r>
      <w:r>
        <w:rPr>
          <w:rStyle w:val="VerbatimChar"/>
        </w:rPr>
        <w:t xml:space="preserve">température - diff. ordre 1                  -11.768    0.0      0.015  0.1000</w:t>
      </w:r>
      <w:r>
        <w:br/>
      </w:r>
      <w:r>
        <w:rPr>
          <w:rStyle w:val="VerbatimChar"/>
        </w:rPr>
        <w:t xml:space="preserve">température - désaisonnalisée (Fourier)      -20.825    0.0      1.934  0.0100</w:t>
      </w:r>
      <w:r>
        <w:br/>
      </w:r>
      <w:r>
        <w:rPr>
          <w:rStyle w:val="VerbatimChar"/>
        </w:rPr>
        <w:t xml:space="preserve">production désaisonnalisée, avec tendance    -34.825    0.0      0.031  0.1000</w:t>
      </w:r>
      <w:r>
        <w:br/>
      </w:r>
      <w:r>
        <w:rPr>
          <w:rStyle w:val="VerbatimChar"/>
        </w:rPr>
        <w:t xml:space="preserve">température désaisonnalisée, avec tendance   -23.993    0.0      0.041  0.1000</w:t>
      </w:r>
      <w:r>
        <w:br/>
      </w:r>
      <w:r>
        <w:br/>
      </w:r>
      <w:r>
        <w:rPr>
          <w:rStyle w:val="VerbatimChar"/>
        </w:rPr>
        <w:t xml:space="preserve">Questions :</w:t>
      </w:r>
      <w:r>
        <w:br/>
      </w:r>
      <w:r>
        <w:rPr>
          <w:rStyle w:val="VerbatimChar"/>
        </w:rPr>
        <w:t xml:space="preserve">1. Quelles hypothèses de modèles proposes-tu de tester (au moins quatre), et pourquoi ?</w:t>
      </w:r>
      <w:r>
        <w:br/>
      </w:r>
      <w:r>
        <w:rPr>
          <w:rStyle w:val="VerbatimChar"/>
        </w:rPr>
        <w:t xml:space="preserve">2. Quels ordres de différenciation (d et D) recommandes-tu, et comment traiter la saisonnalité annuelle ?</w:t>
      </w:r>
      <w:r>
        <w:br/>
      </w:r>
      <w:r>
        <w:rPr>
          <w:rStyle w:val="VerbatimChar"/>
        </w:rPr>
        <w:t xml:space="preserve">3. Faut-il transformer la série ?</w:t>
      </w:r>
      <w:r>
        <w:br/>
      </w:r>
      <w:r>
        <w:rPr>
          <w:rStyle w:val="VerbatimChar"/>
        </w:rPr>
        <w:t xml:space="preserve">4. Quels pièges vois-tu ?</w:t>
      </w:r>
      <w:r>
        <w:br/>
      </w:r>
      <w:r>
        <w:rPr>
          <w:rStyle w:val="VerbatimChar"/>
        </w:rPr>
        <w:t xml:space="preserve">Réponds en français, de façon concise et structurée.</w:t>
      </w:r>
    </w:p>
    <w:p>
      <w:pPr>
        <w:pStyle w:val="FirstParagraph"/>
      </w:pPr>
      <w:r>
        <w:rPr>
          <w:b/>
          <w:bCs/>
        </w:rPr>
        <w:t xml:space="preserve">Réponse du LLM :</w:t>
      </w:r>
    </w:p>
    <w:p>
      <w:pPr>
        <w:pStyle w:val="BlockText"/>
      </w:pPr>
      <w:r>
        <w:rPr>
          <w:b/>
          <w:bCs/>
        </w:rPr>
        <w:t xml:space="preserve">1. Hypothèses de modèles à tester :</w:t>
      </w:r>
      <w:r>
        <w:br/>
      </w:r>
      <w:r>
        <w:t xml:space="preserve">-</w:t>
      </w:r>
      <w:r>
        <w:t xml:space="preserve"> </w:t>
      </w:r>
      <w:r>
        <w:rPr>
          <w:b/>
          <w:bCs/>
        </w:rPr>
        <w:t xml:space="preserve">Modèle ARIMA saisonnier (SARIMA)</w:t>
      </w:r>
      <w:r>
        <w:t xml:space="preserve"> </w:t>
      </w:r>
      <w:r>
        <w:t xml:space="preserve">: la série présente une forte autocorrélation à court terme (lag 1 : 0.512) et une saisonnalité annuelle (lag 365 : 0.329), avec une tendance visible.</w:t>
      </w:r>
      <w:r>
        <w:br/>
      </w:r>
      <w:r>
        <w:t xml:space="preserve">-</w:t>
      </w:r>
      <w:r>
        <w:t xml:space="preserve"> </w:t>
      </w:r>
      <w:r>
        <w:rPr>
          <w:b/>
          <w:bCs/>
        </w:rPr>
        <w:t xml:space="preserve">Modèle avec décomposition saisonnière (Fourier)</w:t>
      </w:r>
      <w:r>
        <w:t xml:space="preserve"> </w:t>
      </w:r>
      <w:r>
        <w:t xml:space="preserve">: la désaisonnalisée est stationnaire (ADF p=0.0, KPSS p=0.10) mais avec une tendance, suggérant un modèle avec tendance et composante saisonnière.</w:t>
      </w:r>
      <w:r>
        <w:br/>
      </w:r>
      <w:r>
        <w:t xml:space="preserve">-</w:t>
      </w:r>
      <w:r>
        <w:t xml:space="preserve"> </w:t>
      </w:r>
      <w:r>
        <w:rPr>
          <w:b/>
          <w:bCs/>
        </w:rPr>
        <w:t xml:space="preserve">Modèle GARCH pour la variance</w:t>
      </w:r>
      <w:r>
        <w:t xml:space="preserve"> </w:t>
      </w:r>
      <w:r>
        <w:t xml:space="preserve">: l’écart-type mensuel varie (ex. : 0.41 en juillet vs 1.25 en janvier), et la série présente une asymétrie (skewness = -0.815), indiquant une volatilité hétéroscédastique.</w:t>
      </w:r>
      <w:r>
        <w:br/>
      </w:r>
      <w:r>
        <w:t xml:space="preserve">-</w:t>
      </w:r>
      <w:r>
        <w:t xml:space="preserve"> </w:t>
      </w:r>
      <w:r>
        <w:rPr>
          <w:b/>
          <w:bCs/>
        </w:rPr>
        <w:t xml:space="preserve">Modèle à variables exogènes (SARIMAX)</w:t>
      </w:r>
      <w:r>
        <w:t xml:space="preserve"> </w:t>
      </w:r>
      <w:r>
        <w:t xml:space="preserve">: les séries météorologiques (nébulosité, température, aérosols) sont fortement corrélées à la production (corrélation &gt;0.5 avec la production), et stationnaires après différenciation.</w:t>
      </w:r>
    </w:p>
    <w:p>
      <w:pPr>
        <w:pStyle w:val="BlockText"/>
      </w:pPr>
      <w:r>
        <w:rPr>
          <w:b/>
          <w:bCs/>
        </w:rPr>
        <w:t xml:space="preserve">2. Ordres de différenciation et traitement saisonnier :</w:t>
      </w:r>
      <w:r>
        <w:br/>
      </w:r>
      <w:r>
        <w:t xml:space="preserve">-</w:t>
      </w:r>
      <w:r>
        <w:t xml:space="preserve"> </w:t>
      </w:r>
      <w:r>
        <w:rPr>
          <w:b/>
          <w:bCs/>
        </w:rPr>
        <w:t xml:space="preserve">d = 1</w:t>
      </w:r>
      <w:r>
        <w:t xml:space="preserve"> </w:t>
      </w:r>
      <w:r>
        <w:t xml:space="preserve">(différence simple) : la série originale est non stationnaire (ADF p=0.0, KPSS p=0.10), mais la différence d’ordre 1 est stationnaire (ADF p=0.0, KPSS p=0.10).</w:t>
      </w:r>
      <w:r>
        <w:br/>
      </w:r>
      <w:r>
        <w:t xml:space="preserve">-</w:t>
      </w:r>
      <w:r>
        <w:t xml:space="preserve"> </w:t>
      </w:r>
      <w:r>
        <w:rPr>
          <w:b/>
          <w:bCs/>
        </w:rPr>
        <w:t xml:space="preserve">D = 1</w:t>
      </w:r>
      <w:r>
        <w:t xml:space="preserve"> </w:t>
      </w:r>
      <w:r>
        <w:t xml:space="preserve">(différence saisonnière annuelle) : la série désaisonnalisée (Fourier) est stationnaire (ADF p=0.0, KPSS p=0.10), mais avec une tendance.</w:t>
      </w:r>
      <w:r>
        <w:br/>
      </w:r>
      <w:r>
        <w:t xml:space="preserve">-</w:t>
      </w:r>
      <w:r>
        <w:t xml:space="preserve"> </w:t>
      </w:r>
      <w:r>
        <w:rPr>
          <w:b/>
          <w:bCs/>
        </w:rPr>
        <w:t xml:space="preserve">Traitement saisonnier</w:t>
      </w:r>
      <w:r>
        <w:t xml:space="preserve"> </w:t>
      </w:r>
      <w:r>
        <w:t xml:space="preserve">: utiliser un modèle SARIMA(1,1,1)(1,1,1)12 ou SARIMAX avec variables exogènes, ou un modèle avec décomposition saisonnière (Fourier) et tendance.</w:t>
      </w:r>
    </w:p>
    <w:p>
      <w:pPr>
        <w:pStyle w:val="BlockText"/>
      </w:pPr>
      <w:r>
        <w:rPr>
          <w:b/>
          <w:bCs/>
        </w:rPr>
        <w:t xml:space="preserve">3. Transformation de la série ?</w:t>
      </w:r>
      <w:r>
        <w:br/>
      </w:r>
      <w:r>
        <w:t xml:space="preserve">-</w:t>
      </w:r>
      <w:r>
        <w:t xml:space="preserve"> </w:t>
      </w:r>
      <w:r>
        <w:rPr>
          <w:b/>
          <w:bCs/>
        </w:rPr>
        <w:t xml:space="preserve">Non nécessaire</w:t>
      </w:r>
      <w:r>
        <w:t xml:space="preserve"> </w:t>
      </w:r>
      <w:r>
        <w:t xml:space="preserve">: la série est positive, mais la transformation log ou Box-Cox n’est pas justifiée ici car la variance n’est pas fortement hétéroscédastique (écart-type moyen = 1.402, variance = 1.965), et les tests de stationnarité sont satisfaisants après différenciation.</w:t>
      </w:r>
    </w:p>
    <w:p>
      <w:pPr>
        <w:pStyle w:val="BlockText"/>
      </w:pPr>
      <w:r>
        <w:rPr>
          <w:b/>
          <w:bCs/>
        </w:rPr>
        <w:t xml:space="preserve">4. Pièges à éviter :</w:t>
      </w:r>
      <w:r>
        <w:br/>
      </w:r>
      <w:r>
        <w:t xml:space="preserve">-</w:t>
      </w:r>
      <w:r>
        <w:t xml:space="preserve"> </w:t>
      </w:r>
      <w:r>
        <w:rPr>
          <w:b/>
          <w:bCs/>
        </w:rPr>
        <w:t xml:space="preserve">Surajustement</w:t>
      </w:r>
      <w:r>
        <w:t xml:space="preserve"> </w:t>
      </w:r>
      <w:r>
        <w:t xml:space="preserve">: ne pas surajuster les modèles avec trop de paramètres (ex. : SARIMA(1,1,1)(1,1,1)12 avec trop de paramètres).</w:t>
      </w:r>
      <w:r>
        <w:br/>
      </w:r>
      <w:r>
        <w:t xml:space="preserve">-</w:t>
      </w:r>
      <w:r>
        <w:t xml:space="preserve"> </w:t>
      </w:r>
      <w:r>
        <w:rPr>
          <w:b/>
          <w:bCs/>
        </w:rPr>
        <w:t xml:space="preserve">Ignorer la saisonnalité</w:t>
      </w:r>
      <w:r>
        <w:t xml:space="preserve"> </w:t>
      </w:r>
      <w:r>
        <w:t xml:space="preserve">: ne pas négliger la saisonnalité annuelle (lag 365 = 0.329) ou la tendance (ADF p=0.0 pour la désaisonnalisée avec tendance).</w:t>
      </w:r>
      <w:r>
        <w:br/>
      </w:r>
      <w:r>
        <w:t xml:space="preserve">-</w:t>
      </w:r>
      <w:r>
        <w:t xml:space="preserve"> </w:t>
      </w:r>
      <w:r>
        <w:rPr>
          <w:b/>
          <w:bCs/>
        </w:rPr>
        <w:t xml:space="preserve">Ignorer les variables exogènes</w:t>
      </w:r>
      <w:r>
        <w:t xml:space="preserve"> </w:t>
      </w:r>
      <w:r>
        <w:t xml:space="preserve">: ne pas utiliser les variables météorologiques (nébulosité, température, aérosols) qui sont fortement corrélées à la production.</w:t>
      </w:r>
      <w:r>
        <w:br/>
      </w:r>
      <w:r>
        <w:t xml:space="preserve">-</w:t>
      </w:r>
      <w:r>
        <w:t xml:space="preserve"> </w:t>
      </w:r>
      <w:r>
        <w:rPr>
          <w:b/>
          <w:bCs/>
        </w:rPr>
        <w:t xml:space="preserve">Sur-estimer la stationnarité</w:t>
      </w:r>
      <w:r>
        <w:t xml:space="preserve"> </w:t>
      </w:r>
      <w:r>
        <w:t xml:space="preserve">: ne pas croire à la stationnarité de la série désaisonnalisée sans vérifier les tests de stationnarité (ADF et KPSS).</w:t>
      </w:r>
    </w:p>
    <w:bookmarkEnd w:id="104"/>
    <w:bookmarkStart w:id="105" w:name="X6c12f609c86e41f7a7270c44b8502c00116a991"/>
    <w:p>
      <w:pPr>
        <w:pStyle w:val="Heading2"/>
      </w:pPr>
      <w:r>
        <w:t xml:space="preserve">A.3 Prompt 2 - explication vulgarisée pour un décideur</w:t>
      </w:r>
    </w:p>
    <w:p>
      <w:pPr>
        <w:pStyle w:val="SourceCode"/>
      </w:pPr>
      <w:r>
        <w:rPr>
          <w:rStyle w:val="VerbatimChar"/>
        </w:rPr>
        <w:t xml:space="preserve">Voici les résultats d'une étude de prévision de la production photovoltaïque journalière d'une installation de 1 kWc à Tunis, à 7 jours. Les modèles ont été estimés sur 6245 jours (2005-01-01 au 2022-02-05) et évalués sur 694 jours (2022-02-06 au 2023-12-31), avec 688 prévisions glissantes de 7 jours.</w:t>
      </w:r>
      <w:r>
        <w:br/>
      </w:r>
      <w:r>
        <w:br/>
      </w:r>
      <w:r>
        <w:rPr>
          <w:rStyle w:val="VerbatimChar"/>
        </w:rPr>
        <w:t xml:space="preserve">« ex ante » : le modèle ne connaît du futur que la date. « ex post » : il reçoit en plus la météo réellement observée sur les 7 jours (nébulosité, pluie, humidité, aérosols).</w:t>
      </w:r>
      <w:r>
        <w:br/>
      </w:r>
      <w:r>
        <w:br/>
      </w:r>
      <w:r>
        <w:rPr>
          <w:rStyle w:val="VerbatimChar"/>
        </w:rPr>
        <w:t xml:space="preserve">Erreurs de prévision (kWh/kWc/jour ; production moyenne sur le test : 4.48 kWh/kWc/jour) :</w:t>
      </w:r>
      <w:r>
        <w:br/>
      </w:r>
      <w:r>
        <w:rPr>
          <w:rStyle w:val="VerbatimChar"/>
        </w:rPr>
        <w:t xml:space="preserve">                               information   RMSE    MAE  MAPE (%)  RMSE h=1  RMSE h=7</w:t>
      </w:r>
      <w:r>
        <w:br/>
      </w:r>
      <w:r>
        <w:rPr>
          <w:rStyle w:val="VerbatimChar"/>
        </w:rPr>
        <w:t xml:space="preserve">modèle                                                                                </w:t>
      </w:r>
      <w:r>
        <w:br/>
      </w:r>
      <w:r>
        <w:rPr>
          <w:rStyle w:val="VerbatimChar"/>
        </w:rPr>
        <w:t xml:space="preserve">Persistance (J)                    ex ante  1.434  0.984    33.474     1.236     1.466</w:t>
      </w:r>
      <w:r>
        <w:br/>
      </w:r>
      <w:r>
        <w:rPr>
          <w:rStyle w:val="VerbatimChar"/>
        </w:rPr>
        <w:t xml:space="preserve">Climatologie                       ex ante  1.100  0.856    30.191     1.102     1.097</w:t>
      </w:r>
      <w:r>
        <w:br/>
      </w:r>
      <w:r>
        <w:rPr>
          <w:rStyle w:val="VerbatimChar"/>
        </w:rPr>
        <w:t xml:space="preserve">ARIMA-Fourier manuel               ex ante  1.089  0.841    29.732     1.030     1.099</w:t>
      </w:r>
      <w:r>
        <w:br/>
      </w:r>
      <w:r>
        <w:rPr>
          <w:rStyle w:val="VerbatimChar"/>
        </w:rPr>
        <w:t xml:space="preserve">ARIMA-Fourier auto                 ex ante  1.089  0.841    29.732     1.030     1.099</w:t>
      </w:r>
      <w:r>
        <w:br/>
      </w:r>
      <w:r>
        <w:rPr>
          <w:rStyle w:val="VerbatimChar"/>
        </w:rPr>
        <w:t xml:space="preserve">VAR                                ex ante  1.081  0.834    29.467     1.009     1.096</w:t>
      </w:r>
      <w:r>
        <w:br/>
      </w:r>
      <w:r>
        <w:rPr>
          <w:rStyle w:val="VerbatimChar"/>
        </w:rPr>
        <w:t xml:space="preserve">Prophet (ex ante)                  ex ante  1.097  0.837    30.255     1.098     1.094</w:t>
      </w:r>
      <w:r>
        <w:br/>
      </w:r>
      <w:r>
        <w:rPr>
          <w:rStyle w:val="VerbatimChar"/>
        </w:rPr>
        <w:t xml:space="preserve">LSTM (ex ante)                     ex ante  1.082  0.835    29.504     0.987     1.106</w:t>
      </w:r>
      <w:r>
        <w:br/>
      </w:r>
      <w:r>
        <w:rPr>
          <w:rStyle w:val="VerbatimChar"/>
        </w:rPr>
        <w:t xml:space="preserve">GRU (ex ante)                      ex ante  1.082  0.830    29.523     0.987     1.102</w:t>
      </w:r>
      <w:r>
        <w:br/>
      </w:r>
      <w:r>
        <w:rPr>
          <w:rStyle w:val="VerbatimChar"/>
        </w:rPr>
        <w:t xml:space="preserve">Hybride ARIMA + LSTM (ex ante)     ex ante  1.085  0.821    29.707     0.994     1.104</w:t>
      </w:r>
      <w:r>
        <w:br/>
      </w:r>
      <w:r>
        <w:rPr>
          <w:rStyle w:val="VerbatimChar"/>
        </w:rPr>
        <w:t xml:space="preserve">XGBoost direct (ex ante)           ex ante  1.083  0.841    29.850     0.985     1.103</w:t>
      </w:r>
      <w:r>
        <w:br/>
      </w:r>
      <w:r>
        <w:rPr>
          <w:rStyle w:val="VerbatimChar"/>
        </w:rPr>
        <w:t xml:space="preserve">LSTM global 9 villes (ex ante)     ex ante  1.078  0.829    29.409     0.989     1.094</w:t>
      </w:r>
      <w:r>
        <w:br/>
      </w:r>
      <w:r>
        <w:rPr>
          <w:rStyle w:val="VerbatimChar"/>
        </w:rPr>
        <w:t xml:space="preserve">SARIMAX météo (ex post)            ex post  0.725  0.550    17.209     0.713     0.727</w:t>
      </w:r>
      <w:r>
        <w:br/>
      </w:r>
      <w:r>
        <w:rPr>
          <w:rStyle w:val="VerbatimChar"/>
        </w:rPr>
        <w:t xml:space="preserve">LSTM (ex post)                     ex post  0.699  0.503    15.911     0.701     0.701</w:t>
      </w:r>
      <w:r>
        <w:br/>
      </w:r>
      <w:r>
        <w:rPr>
          <w:rStyle w:val="VerbatimChar"/>
        </w:rPr>
        <w:t xml:space="preserve">GRU (ex post)                      ex post  0.713  0.515    15.541     0.714     0.717</w:t>
      </w:r>
      <w:r>
        <w:br/>
      </w:r>
      <w:r>
        <w:br/>
      </w:r>
      <w:r>
        <w:rPr>
          <w:rStyle w:val="VerbatimChar"/>
        </w:rPr>
        <w:t xml:space="preserve">Autres résultats :</w:t>
      </w:r>
      <w:r>
        <w:br/>
      </w:r>
      <w:r>
        <w:rPr>
          <w:rStyle w:val="VerbatimChar"/>
        </w:rPr>
        <w:t xml:space="preserve">- Causalité de Granger : le passé de la nébulosité aide à prévoir la production (F = 98.8, p = 2.0e-63).</w:t>
      </w:r>
      <w:r>
        <w:br/>
      </w:r>
      <w:r>
        <w:rPr>
          <w:rStyle w:val="VerbatimChar"/>
        </w:rPr>
        <w:t xml:space="preserve">- Dans le SARIMAX météo, 10 points de nébulosité supplémentaires changent la production de -0.256 kWh/kWc, plus +0.0047 kWh/kWc par kWh/m² de rayonnement extraterrestre (effet plus fort l'été).</w:t>
      </w:r>
      <w:r>
        <w:br/>
      </w:r>
      <w:r>
        <w:rPr>
          <w:rStyle w:val="VerbatimChar"/>
        </w:rPr>
        <w:t xml:space="preserve">- Les erreurs ont une variance non constante (test ARCH-LM, p = 4.3e-47), plus forte l'hiver, modélisée par : Variance saisonnière + GARCH(1,1) Student asym..</w:t>
      </w:r>
      <w:r>
        <w:br/>
      </w:r>
      <w:r>
        <w:br/>
      </w:r>
      <w:r>
        <w:rPr>
          <w:rStyle w:val="VerbatimChar"/>
        </w:rPr>
        <w:t xml:space="preserve">Explique ces résultats à un décideur non statisticien (gestionnaire d'un parc de toitures solaires à Tunis), en 250 mots au maximum, sans jargon. Dis quel modèle tu recommandes et pourquoi.</w:t>
      </w:r>
    </w:p>
    <w:p>
      <w:pPr>
        <w:pStyle w:val="FirstParagraph"/>
      </w:pPr>
      <w:r>
        <w:rPr>
          <w:b/>
          <w:bCs/>
        </w:rPr>
        <w:t xml:space="preserve">Réponse du LLM :</w:t>
      </w:r>
    </w:p>
    <w:p>
      <w:pPr>
        <w:pStyle w:val="BlockText"/>
      </w:pPr>
      <w:r>
        <w:t xml:space="preserve">Pour votre parc solaire à Tunis, le modèle</w:t>
      </w:r>
      <w:r>
        <w:t xml:space="preserve"> </w:t>
      </w:r>
      <w:r>
        <w:rPr>
          <w:b/>
          <w:bCs/>
        </w:rPr>
        <w:t xml:space="preserve">LSTM (ex post)</w:t>
      </w:r>
      <w:r>
        <w:t xml:space="preserve"> </w:t>
      </w:r>
      <w:r>
        <w:t xml:space="preserve">est le meilleur choix : il prévoit avec une précision exceptionnelle (erreur de 0,699 kWh/kWc/jour) quand vous avez les données météo avant la production. Cela signifie que, si vous savez à l’avance qu’il va être nuageux ou ensoleillé, vous pouvez ajuster la production avec une grande fiabilité — crucial pour gérer les contrats, les ventes, ou les batteries.</w:t>
      </w:r>
    </w:p>
    <w:p>
      <w:pPr>
        <w:pStyle w:val="BlockText"/>
      </w:pPr>
      <w:r>
        <w:t xml:space="preserve">Le modèle</w:t>
      </w:r>
      <w:r>
        <w:t xml:space="preserve"> </w:t>
      </w:r>
      <w:r>
        <w:rPr>
          <w:b/>
          <w:bCs/>
        </w:rPr>
        <w:t xml:space="preserve">SARIMAX météo (ex post)</w:t>
      </w:r>
      <w:r>
        <w:t xml:space="preserve"> </w:t>
      </w:r>
      <w:r>
        <w:t xml:space="preserve">est aussi très bon (erreur 0,725), mais l’LSTM est légèrement plus précis et plus robuste. Les modèles « ex ante » (sans météo) sont moins fiables, car ils ne prennent pas en compte les conditions réelles — ce qui est inutile si vous avez déjà les données météo.</w:t>
      </w:r>
    </w:p>
    <w:p>
      <w:pPr>
        <w:pStyle w:val="BlockText"/>
      </w:pPr>
      <w:r>
        <w:t xml:space="preserve">Pourquoi pas un modèle plus simple comme « Persistance » ? Parce qu’il ne fait que répéter la production du jour précédent — ce qui est très mauvais en hiver ou en cas de changements météo.</w:t>
      </w:r>
    </w:p>
    <w:p>
      <w:pPr>
        <w:pStyle w:val="BlockText"/>
      </w:pPr>
      <w:r>
        <w:t xml:space="preserve">En résumé :</w:t>
      </w:r>
      <w:r>
        <w:t xml:space="preserve"> </w:t>
      </w:r>
      <w:r>
        <w:rPr>
          <w:b/>
          <w:bCs/>
        </w:rPr>
        <w:t xml:space="preserve">utilisez l’LSTM avec les données météo en amont</w:t>
      </w:r>
      <w:r>
        <w:t xml:space="preserve">. Il est précis, adaptable, et vous permet de mieux anticiper les variations de production. Cela vous donne une marge de sécurité pour les ventes, les contrats, ou les batteries. Le modèle est aussi robuste aux saisons — il fonctionne bien même en hiver, quand la production est plus faible.</w:t>
      </w:r>
    </w:p>
    <w:p>
      <w:pPr>
        <w:pStyle w:val="BlockText"/>
      </w:pPr>
      <w:r>
        <w:t xml:space="preserve">Investissez dans une intégration simple avec vos données météo — vous gagnerez en fiabilité, en réduction des erreurs, et en confiance pour vos décisions.</w:t>
      </w:r>
    </w:p>
    <w:bookmarkEnd w:id="105"/>
    <w:bookmarkStart w:id="106" w:name="X016e0909fe959b14e5bdbf95c168391c76c86ba"/>
    <w:p>
      <w:pPr>
        <w:pStyle w:val="Heading2"/>
      </w:pPr>
      <w:r>
        <w:t xml:space="preserve">A.4 Prompt 3 - recommandations de gestion</w:t>
      </w:r>
    </w:p>
    <w:p>
      <w:pPr>
        <w:pStyle w:val="SourceCode"/>
      </w:pPr>
      <w:r>
        <w:rPr>
          <w:rStyle w:val="VerbatimChar"/>
        </w:rPr>
        <w:t xml:space="preserve">À partir des résultats ci-dessous, propose des recommandations de gestion pour l'exploitant d'installations photovoltaïques en toiture à Tunis (planification de la maintenance et du nettoyage des modules, pilotage d'une batterie, engagement de production auprès du réseau, information des usagers).</w:t>
      </w:r>
      <w:r>
        <w:br/>
      </w:r>
      <w:r>
        <w:br/>
      </w:r>
      <w:r>
        <w:rPr>
          <w:rStyle w:val="VerbatimChar"/>
        </w:rPr>
        <w:t xml:space="preserve">Résultats :</w:t>
      </w:r>
      <w:r>
        <w:br/>
      </w:r>
      <w:r>
        <w:rPr>
          <w:rStyle w:val="VerbatimChar"/>
        </w:rPr>
        <w:t xml:space="preserve">- Meilleur modèle sans prévision météo (ex ante) : LSTM global 9 villes (ex ante), erreur absolue moyenne 0.83 kWh/kWc/jour (MAPE 29.4 %), RMSE à 1 jour 0.99 et à 7 jours 1.09.</w:t>
      </w:r>
      <w:r>
        <w:br/>
      </w:r>
      <w:r>
        <w:rPr>
          <w:rStyle w:val="VerbatimChar"/>
        </w:rPr>
        <w:t xml:space="preserve">- Meilleur modèle avec météo observée (ex post) : LSTM (ex post), erreur absolue moyenne 0.50 kWh/kWc/jour (MAPE 15.9 %).</w:t>
      </w:r>
      <w:r>
        <w:br/>
      </w:r>
      <w:r>
        <w:rPr>
          <w:rStyle w:val="VerbatimChar"/>
        </w:rPr>
        <w:t xml:space="preserve">- Références : persistance (demain = aujourd'hui) MAE 0.98 ; normale saisonnière MAE 0.86.</w:t>
      </w:r>
      <w:r>
        <w:br/>
      </w:r>
      <w:r>
        <w:rPr>
          <w:rStyle w:val="VerbatimChar"/>
        </w:rPr>
        <w:t xml:space="preserve">- Production annuelle d'1 kWc à Tunis : 1585 kWh ; production moyenne en janvier 3.20 et en juillet 5.43 kWh/kWc/jour.</w:t>
      </w:r>
      <w:r>
        <w:br/>
      </w:r>
      <w:r>
        <w:rPr>
          <w:rStyle w:val="VerbatimChar"/>
        </w:rPr>
        <w:t xml:space="preserve">- L'incertitude des prévisions est plus forte de novembre à mars (variance conditionnelle, modèle Variance saisonnière + GARCH(1,1) Student asym.).</w:t>
      </w:r>
      <w:r>
        <w:br/>
      </w:r>
      <w:r>
        <w:rPr>
          <w:rStyle w:val="VerbatimChar"/>
        </w:rPr>
        <w:t xml:space="preserve">- Les données sont simulées par PVGIS à partir d'images satellite (2005-2023), pas mesurées sur une installation réelle.</w:t>
      </w:r>
      <w:r>
        <w:br/>
      </w:r>
      <w:r>
        <w:br/>
      </w:r>
      <w:r>
        <w:rPr>
          <w:rStyle w:val="VerbatimChar"/>
        </w:rPr>
        <w:t xml:space="preserve">Donne 4 recommandations concrètes. Pour chacune, formule toi-même ses limites et ses risques. Termine par une liste de ce que ces résultats ne permettent PAS de conclure. Réponds en français, 350 mots au maximum.</w:t>
      </w:r>
    </w:p>
    <w:p>
      <w:pPr>
        <w:pStyle w:val="FirstParagraph"/>
      </w:pPr>
      <w:r>
        <w:rPr>
          <w:b/>
          <w:bCs/>
        </w:rPr>
        <w:t xml:space="preserve">Réponse du LLM :</w:t>
      </w:r>
    </w:p>
    <w:p>
      <w:pPr>
        <w:pStyle w:val="BlockText"/>
      </w:pPr>
      <w:r>
        <w:rPr>
          <w:b/>
          <w:bCs/>
        </w:rPr>
        <w:t xml:space="preserve">Recommandation 1 : Planifier le nettoyage des modules en fonction des prévisions ex post (météo observée).</w:t>
      </w:r>
      <w:r>
        <w:br/>
      </w:r>
      <w:r>
        <w:t xml:space="preserve">→ Utiliser le modèle LSTM ex post (MAE 0.50 kWh/kWc/jour) pour anticiper les périodes de faible production (ex : janvier, novembre).</w:t>
      </w:r>
      <w:r>
        <w:br/>
      </w:r>
      <w:r>
        <w:rPr>
          <w:i/>
          <w:iCs/>
        </w:rPr>
        <w:t xml:space="preserve">Limites :</w:t>
      </w:r>
      <w:r>
        <w:t xml:space="preserve"> </w:t>
      </w:r>
      <w:r>
        <w:t xml:space="preserve">Ce modèle repose sur des données simulées (PVGIS), non mesurées sur site, donc moins fiables en cas de pollution ou de dégradation locale.</w:t>
      </w:r>
      <w:r>
        <w:br/>
      </w:r>
      <w:r>
        <w:rPr>
          <w:i/>
          <w:iCs/>
        </w:rPr>
        <w:t xml:space="preserve">Risque :</w:t>
      </w:r>
      <w:r>
        <w:t xml:space="preserve"> </w:t>
      </w:r>
      <w:r>
        <w:t xml:space="preserve">Surévaluation de la production en période sèche, conduisant à un nettoyage inutile ou trop tardif.</w:t>
      </w:r>
    </w:p>
    <w:p>
      <w:pPr>
        <w:pStyle w:val="BlockText"/>
      </w:pPr>
      <w:r>
        <w:rPr>
          <w:b/>
          <w:bCs/>
        </w:rPr>
        <w:t xml:space="preserve">Recommandation 2 : Piloter la batterie en fonction des prévisions ex ante (LSTM global) pour optimiser le stockage.</w:t>
      </w:r>
      <w:r>
        <w:br/>
      </w:r>
      <w:r>
        <w:t xml:space="preserve">→ Le modèle ex ante (MAE 0.83) permet une planification à court terme (jusqu’à 7 jours) pour charger la batterie en période de forte production (juillet).</w:t>
      </w:r>
      <w:r>
        <w:br/>
      </w:r>
      <w:r>
        <w:rPr>
          <w:i/>
          <w:iCs/>
        </w:rPr>
        <w:t xml:space="preserve">Limites :</w:t>
      </w:r>
      <w:r>
        <w:t xml:space="preserve"> </w:t>
      </w:r>
      <w:r>
        <w:t xml:space="preserve">L’erreur (MAPE 29.4 %) reste élevée, surtout en hiver.</w:t>
      </w:r>
      <w:r>
        <w:br/>
      </w:r>
      <w:r>
        <w:rPr>
          <w:i/>
          <w:iCs/>
        </w:rPr>
        <w:t xml:space="preserve">Risque :</w:t>
      </w:r>
      <w:r>
        <w:t xml:space="preserve"> </w:t>
      </w:r>
      <w:r>
        <w:t xml:space="preserve">Surcharge ou sous-utilisation de la batterie en période de forte incertitude (novembre-mars).</w:t>
      </w:r>
    </w:p>
    <w:p>
      <w:pPr>
        <w:pStyle w:val="BlockText"/>
      </w:pPr>
      <w:r>
        <w:rPr>
          <w:b/>
          <w:bCs/>
        </w:rPr>
        <w:t xml:space="preserve">Recommandation 3 : Engager la production vers le réseau en fonction des prévisions ex post, avec un seuil de confiance.</w:t>
      </w:r>
      <w:r>
        <w:br/>
      </w:r>
      <w:r>
        <w:t xml:space="preserve">→ En période de forte production (juillet), utiliser le modèle ex post pour engager la production avec un seuil de confiance (ex : 90 % de la production prévue).</w:t>
      </w:r>
      <w:r>
        <w:br/>
      </w:r>
      <w:r>
        <w:rPr>
          <w:i/>
          <w:iCs/>
        </w:rPr>
        <w:t xml:space="preserve">Limites :</w:t>
      </w:r>
      <w:r>
        <w:t xml:space="preserve"> </w:t>
      </w:r>
      <w:r>
        <w:t xml:space="preserve">Le modèle ex post est plus précis mais dépend de la météo observée, donc moins adapté aux périodes de forte incertitude.</w:t>
      </w:r>
      <w:r>
        <w:br/>
      </w:r>
      <w:r>
        <w:rPr>
          <w:i/>
          <w:iCs/>
        </w:rPr>
        <w:t xml:space="preserve">Risque :</w:t>
      </w:r>
      <w:r>
        <w:t xml:space="preserve"> </w:t>
      </w:r>
      <w:r>
        <w:t xml:space="preserve">Engager trop tôt en cas de mauvais temps, ou trop tard en cas de forte production.</w:t>
      </w:r>
    </w:p>
    <w:p>
      <w:pPr>
        <w:pStyle w:val="BlockText"/>
      </w:pPr>
      <w:r>
        <w:rPr>
          <w:b/>
          <w:bCs/>
        </w:rPr>
        <w:t xml:space="preserve">Recommandation 4 : Informer les usagers via un tableau de bord basé sur les prévisions ex post.</w:t>
      </w:r>
      <w:r>
        <w:br/>
      </w:r>
      <w:r>
        <w:t xml:space="preserve">→ Afficher les prévisions journalières (MAE 0.50) pour les usagers, avec une marge d’erreur (ex : ±15 %).</w:t>
      </w:r>
      <w:r>
        <w:br/>
      </w:r>
      <w:r>
        <w:rPr>
          <w:i/>
          <w:iCs/>
        </w:rPr>
        <w:t xml:space="preserve">Limites :</w:t>
      </w:r>
      <w:r>
        <w:t xml:space="preserve"> </w:t>
      </w:r>
      <w:r>
        <w:t xml:space="preserve">Les données sont simulées, donc les usagers pourraient être trompés en cas de déviation importante.</w:t>
      </w:r>
      <w:r>
        <w:br/>
      </w:r>
      <w:r>
        <w:rPr>
          <w:i/>
          <w:iCs/>
        </w:rPr>
        <w:t xml:space="preserve">Risque :</w:t>
      </w:r>
      <w:r>
        <w:t xml:space="preserve"> </w:t>
      </w:r>
      <w:r>
        <w:t xml:space="preserve">Perte de confiance si les prévisions ne correspondent pas à la réalité.</w:t>
      </w:r>
    </w:p>
    <w:p>
      <w:pPr>
        <w:pStyle w:val="BlockText"/>
      </w:pPr>
      <w:r>
        <w:rPr>
          <w:b/>
          <w:bCs/>
        </w:rPr>
        <w:t xml:space="preserve">Ce que ces résultats ne permettent PAS de conclure :</w:t>
      </w:r>
      <w:r>
        <w:br/>
      </w:r>
      <w:r>
        <w:t xml:space="preserve">→ Ils ne permettent pas de valider la performance d’un modèle sur une installation réelle (données simulées).</w:t>
      </w:r>
      <w:r>
        <w:br/>
      </w:r>
      <w:r>
        <w:t xml:space="preserve">→ Ils ne permettent pas de conclure sur la fiabilité des prévisions en cas de conditions météorologiques extrêmes (ex : orages, neige).</w:t>
      </w:r>
      <w:r>
        <w:br/>
      </w:r>
      <w:r>
        <w:t xml:space="preserve">→ Ils ne permettent pas de conclure sur l’impact des dégradations physiques des modules (poussière, salissures, fissures).</w:t>
      </w:r>
      <w:r>
        <w:br/>
      </w:r>
      <w:r>
        <w:t xml:space="preserve">→ Ils ne permettent pas de conclure sur la rentabilité économique ou la rentabilité énergétique à long terme.</w:t>
      </w:r>
    </w:p>
    <w:bookmarkEnd w:id="106"/>
    <w:bookmarkEnd w:id="107"/>
    <w:bookmarkStart w:id="108" w:name="annexe-b.-reproductibilité"/>
    <w:p>
      <w:pPr>
        <w:pStyle w:val="Heading1"/>
      </w:pPr>
      <w:r>
        <w:t xml:space="preserve">Annexe B. Reproductibilité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Détail</w:t>
            </w:r>
          </w:p>
        </w:tc>
      </w:tr>
      <w:tr>
        <w:tc>
          <w:tcPr/>
          <w:p>
            <w:pPr>
              <w:pStyle w:val="Compact"/>
            </w:pPr>
            <w:r>
              <w:t xml:space="preserve">Collecte</w:t>
            </w:r>
          </w:p>
        </w:tc>
        <w:tc>
          <w:tcPr/>
          <w:p>
            <w:pPr>
              <w:pStyle w:val="Compact"/>
            </w:pPr>
            <w:r>
              <w:rPr>
                <w:rStyle w:val="VerbatimChar"/>
              </w:rPr>
              <w:t xml:space="preserve">python python/collecte_donnees.py</w:t>
            </w:r>
            <w:r>
              <w:t xml:space="preserve"> </w:t>
            </w:r>
            <w:r>
              <w:t xml:space="preserve">: liens du rapport, API (PVGIS, Open-Meteo, NASA POWER, RTE, REE), 14 jeux de données ; environ 20 minutes, réponses mises en cache dans</w:t>
            </w:r>
            <w:r>
              <w:t xml:space="preserve"> </w:t>
            </w:r>
            <w:r>
              <w:rPr>
                <w:rStyle w:val="VerbatimChar"/>
              </w:rPr>
              <w:t xml:space="preserve">data/brut/</w:t>
            </w:r>
          </w:p>
        </w:tc>
      </w:tr>
      <w:tr>
        <w:tc>
          <w:tcPr/>
          <w:p>
            <w:pPr>
              <w:pStyle w:val="Compact"/>
            </w:pPr>
            <w:r>
              <w:t xml:space="preserve">Notebook Python</w:t>
            </w:r>
          </w:p>
        </w:tc>
        <w:tc>
          <w:tcPr/>
          <w:p>
            <w:pPr>
              <w:pStyle w:val="Compact"/>
            </w:pPr>
            <w:r>
              <w:rPr>
                <w:rStyle w:val="VerbatimChar"/>
              </w:rPr>
              <w:t xml:space="preserve">mini_projet_python.ipynb</w:t>
            </w:r>
            <w:r>
              <w:t xml:space="preserve"> </w:t>
            </w:r>
            <w:r>
              <w:t xml:space="preserve">: sections 1 à 6, extensions et prompts ; environ 15 minutes une fois les données présentes</w:t>
            </w:r>
          </w:p>
        </w:tc>
      </w:tr>
      <w:tr>
        <w:tc>
          <w:tcPr/>
          <w:p>
            <w:pPr>
              <w:pStyle w:val="Compact"/>
            </w:pPr>
            <w:r>
              <w:t xml:space="preserve">Notebook R</w:t>
            </w:r>
          </w:p>
        </w:tc>
        <w:tc>
          <w:tcPr/>
          <w:p>
            <w:pPr>
              <w:pStyle w:val="Compact"/>
            </w:pPr>
            <w:r>
              <w:rPr>
                <w:rStyle w:val="VerbatimChar"/>
              </w:rPr>
              <w:t xml:space="preserve">mini_projet_R.Rmd</w:t>
            </w:r>
            <w:r>
              <w:t xml:space="preserve"> </w:t>
            </w:r>
            <w:r>
              <w:t xml:space="preserve">(et sa version HTML) : sections 1, 2, 3 et 6 ; environ 5 minutes</w:t>
            </w:r>
          </w:p>
        </w:tc>
      </w:tr>
      <w:tr>
        <w:tc>
          <w:tcPr/>
          <w:p>
            <w:pPr>
              <w:pStyle w:val="Compact"/>
            </w:pPr>
            <w:r>
              <w:t xml:space="preserve">Section 4 et extensions</w:t>
            </w:r>
          </w:p>
        </w:tc>
        <w:tc>
          <w:tcPr/>
          <w:p>
            <w:pPr>
              <w:pStyle w:val="Compact"/>
            </w:pPr>
            <w:r>
              <w:t xml:space="preserve">Python uniquement</w:t>
            </w:r>
          </w:p>
        </w:tc>
      </w:tr>
      <w:tr>
        <w:tc>
          <w:tcPr/>
          <w:p>
            <w:pPr>
              <w:pStyle w:val="Compact"/>
            </w:pPr>
            <w:r>
              <w:t xml:space="preserve">Graine</w:t>
            </w:r>
          </w:p>
        </w:tc>
        <w:tc>
          <w:tcPr/>
          <w:p>
            <w:pPr>
              <w:pStyle w:val="Compact"/>
            </w:pPr>
            <w:r>
              <w:t xml:space="preserve">42 dans les deux langages ; PyTorch en mode déterministe, sur CPU</w:t>
            </w:r>
          </w:p>
        </w:tc>
      </w:tr>
      <w:tr>
        <w:tc>
          <w:tcPr/>
          <w:p>
            <w:pPr>
              <w:pStyle w:val="Compact"/>
            </w:pPr>
            <w:r>
              <w:t xml:space="preserve">Application</w:t>
            </w:r>
          </w:p>
        </w:tc>
        <w:tc>
          <w:tcPr/>
          <w:p>
            <w:pPr>
              <w:pStyle w:val="Compact"/>
            </w:pPr>
            <w:r>
              <w:rPr>
                <w:rStyle w:val="VerbatimChar"/>
              </w:rPr>
              <w:t xml:space="preserve">docker compose up --build</w:t>
            </w:r>
            <w:r>
              <w:t xml:space="preserve"> </w:t>
            </w:r>
            <w:r>
              <w:t xml:space="preserve">(http://localhost:8000), ou sans Docker :</w:t>
            </w:r>
            <w:r>
              <w:t xml:space="preserve"> </w:t>
            </w:r>
            <w:r>
              <w:rPr>
                <w:rStyle w:val="VerbatimChar"/>
              </w:rPr>
              <w:t xml:space="preserve">python python/entrainer_modeles_app.py</w:t>
            </w:r>
            <w:r>
              <w:t xml:space="preserve">, puis</w:t>
            </w:r>
            <w:r>
              <w:t xml:space="preserve"> </w:t>
            </w:r>
            <w:r>
              <w:rPr>
                <w:rStyle w:val="VerbatimChar"/>
              </w:rPr>
              <w:t xml:space="preserve">uvicorn main:app</w:t>
            </w:r>
            <w:r>
              <w:t xml:space="preserve"> </w:t>
            </w:r>
            <w:r>
              <w:t xml:space="preserve">dans</w:t>
            </w:r>
            <w:r>
              <w:t xml:space="preserve"> </w:t>
            </w:r>
            <w:r>
              <w:rPr>
                <w:rStyle w:val="VerbatimChar"/>
              </w:rPr>
              <w:t xml:space="preserve">app/backend</w:t>
            </w:r>
            <w:r>
              <w:t xml:space="preserve"> </w:t>
            </w:r>
            <w:r>
              <w:t xml:space="preserve">(frontend construit servi à la racine)</w:t>
            </w:r>
          </w:p>
        </w:tc>
      </w:tr>
      <w:tr>
        <w:tc>
          <w:tcPr/>
          <w:p>
            <w:pPr>
              <w:pStyle w:val="Compact"/>
            </w:pPr>
            <w:r>
              <w:t xml:space="preserve">Assistant RAG</w:t>
            </w:r>
          </w:p>
        </w:tc>
        <w:tc>
          <w:tcPr/>
          <w:p>
            <w:pPr>
              <w:pStyle w:val="Compact"/>
            </w:pPr>
            <w:r>
              <w:t xml:space="preserve">clé</w:t>
            </w:r>
            <w:r>
              <w:t xml:space="preserve"> </w:t>
            </w:r>
            <w:r>
              <w:rPr>
                <w:rStyle w:val="VerbatimChar"/>
              </w:rPr>
              <w:t xml:space="preserve">GROQ_API_KEY</w:t>
            </w:r>
            <w:r>
              <w:t xml:space="preserve"> </w:t>
            </w:r>
            <w:r>
              <w:t xml:space="preserve">dans le fichier</w:t>
            </w:r>
            <w:r>
              <w:t xml:space="preserve"> </w:t>
            </w:r>
            <w:r>
              <w:rPr>
                <w:rStyle w:val="VerbatimChar"/>
              </w:rPr>
              <w:t xml:space="preserve">.env</w:t>
            </w:r>
            <w:r>
              <w:t xml:space="preserve"> </w:t>
            </w:r>
            <w:r>
              <w:t xml:space="preserve">(modèle :</w:t>
            </w:r>
            <w:r>
              <w:t xml:space="preserve"> </w:t>
            </w:r>
            <w:r>
              <w:rPr>
                <w:rStyle w:val="VerbatimChar"/>
              </w:rPr>
              <w:t xml:space="preserve">.env.example</w:t>
            </w:r>
            <w:r>
              <w:t xml:space="preserve">) ; sans clé, réponse extractive</w:t>
            </w:r>
          </w:p>
        </w:tc>
      </w:tr>
      <w:tr>
        <w:tc>
          <w:tcPr/>
          <w:p>
            <w:pPr>
              <w:pStyle w:val="Compact"/>
            </w:pPr>
            <w:r>
              <w:t xml:space="preserve">Versions Python</w:t>
            </w:r>
          </w:p>
        </w:tc>
        <w:tc>
          <w:tcPr/>
          <w:p>
            <w:pPr>
              <w:pStyle w:val="Compact"/>
            </w:pPr>
            <w:r>
              <w:t xml:space="preserve">Python 3.14 ; statsmodels 0.15.0 ; pmdarima 2.1.1 ; arch 8.0.0 ; torch 2.12.1 ; prophet 1.5.0 ; scikit-learn 1.8.0 ; xgboost 3.1.3</w:t>
            </w:r>
          </w:p>
        </w:tc>
      </w:tr>
      <w:tr>
        <w:tc>
          <w:tcPr/>
          <w:p>
            <w:pPr>
              <w:pStyle w:val="Compact"/>
            </w:pPr>
            <w:r>
              <w:t xml:space="preserve">Versions R</w:t>
            </w:r>
          </w:p>
        </w:tc>
        <w:tc>
          <w:tcPr/>
          <w:p>
            <w:pPr>
              <w:pStyle w:val="Compact"/>
            </w:pPr>
            <w:r>
              <w:t xml:space="preserve">R 4.6.0 ; forecast 9.0.2 ; urca 1.3-4 ; vars 1.6-1 ; tseries 0.10-63 ; FinTS 0.4-9 ; rugarch 1.5-6</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Étape</w:t>
            </w:r>
          </w:p>
        </w:tc>
        <w:tc>
          <w:tcPr/>
          <w:p>
            <w:pPr>
              <w:pStyle w:val="Compact"/>
            </w:pPr>
            <w:r>
              <w:t xml:space="preserve">R</w:t>
            </w:r>
          </w:p>
        </w:tc>
        <w:tc>
          <w:tcPr/>
          <w:p>
            <w:pPr>
              <w:pStyle w:val="Compact"/>
            </w:pPr>
            <w:r>
              <w:t xml:space="preserve">Python</w:t>
            </w:r>
          </w:p>
        </w:tc>
      </w:tr>
      <w:tr>
        <w:tc>
          <w:tcPr/>
          <w:p>
            <w:pPr>
              <w:pStyle w:val="Compact"/>
            </w:pPr>
            <w:r>
              <w:t xml:space="preserve">ARIMA et régression à erreurs ARIMA</w:t>
            </w:r>
          </w:p>
        </w:tc>
        <w:tc>
          <w:tcPr/>
          <w:p>
            <w:pPr>
              <w:pStyle w:val="Compact"/>
            </w:pPr>
            <w:r>
              <w:rPr>
                <w:rStyle w:val="VerbatimChar"/>
              </w:rPr>
              <w:t xml:space="preserve">forecast::Arima</w:t>
            </w:r>
            <w:r>
              <w:t xml:space="preserve">,</w:t>
            </w:r>
            <w:r>
              <w:t xml:space="preserve"> </w:t>
            </w:r>
            <w:r>
              <w:rPr>
                <w:rStyle w:val="VerbatimChar"/>
              </w:rPr>
              <w:t xml:space="preserve">auto.arima</w:t>
            </w:r>
          </w:p>
        </w:tc>
        <w:tc>
          <w:tcPr/>
          <w:p>
            <w:pPr>
              <w:pStyle w:val="Compact"/>
            </w:pPr>
            <w:r>
              <w:rPr>
                <w:rStyle w:val="VerbatimChar"/>
              </w:rPr>
              <w:t xml:space="preserve">statsmodels</w:t>
            </w:r>
            <w:r>
              <w:t xml:space="preserve"> </w:t>
            </w:r>
            <w:r>
              <w:rPr>
                <w:rStyle w:val="VerbatimChar"/>
              </w:rPr>
              <w:t xml:space="preserve">ARIMA</w:t>
            </w:r>
            <w:r>
              <w:t xml:space="preserve">,</w:t>
            </w:r>
            <w:r>
              <w:t xml:space="preserve"> </w:t>
            </w:r>
            <w:r>
              <w:rPr>
                <w:rStyle w:val="VerbatimChar"/>
              </w:rPr>
              <w:t xml:space="preserve">pmdarima.auto_arima</w:t>
            </w:r>
          </w:p>
        </w:tc>
      </w:tr>
      <w:tr>
        <w:tc>
          <w:tcPr/>
          <w:p>
            <w:pPr>
              <w:pStyle w:val="Compact"/>
            </w:pPr>
            <w:r>
              <w:t xml:space="preserve">Stationnarité</w:t>
            </w:r>
          </w:p>
        </w:tc>
        <w:tc>
          <w:tcPr/>
          <w:p>
            <w:pPr>
              <w:pStyle w:val="Compact"/>
            </w:pPr>
            <w:r>
              <w:rPr>
                <w:rStyle w:val="VerbatimChar"/>
              </w:rPr>
              <w:t xml:space="preserve">tseries::adf.test</w:t>
            </w:r>
            <w:r>
              <w:t xml:space="preserve">,</w:t>
            </w:r>
            <w:r>
              <w:t xml:space="preserve"> </w:t>
            </w:r>
            <w:r>
              <w:rPr>
                <w:rStyle w:val="VerbatimChar"/>
              </w:rPr>
              <w:t xml:space="preserve">kpss.test</w:t>
            </w:r>
          </w:p>
        </w:tc>
        <w:tc>
          <w:tcPr/>
          <w:p>
            <w:pPr>
              <w:pStyle w:val="Compact"/>
            </w:pPr>
            <w:r>
              <w:rPr>
                <w:rStyle w:val="VerbatimChar"/>
              </w:rPr>
              <w:t xml:space="preserve">adfuller</w:t>
            </w:r>
            <w:r>
              <w:t xml:space="preserve">,</w:t>
            </w:r>
            <w:r>
              <w:t xml:space="preserve"> </w:t>
            </w:r>
            <w:r>
              <w:rPr>
                <w:rStyle w:val="VerbatimChar"/>
              </w:rPr>
              <w:t xml:space="preserve">kpss</w:t>
            </w:r>
          </w:p>
        </w:tc>
      </w:tr>
      <w:tr>
        <w:tc>
          <w:tcPr/>
          <w:p>
            <w:pPr>
              <w:pStyle w:val="Compact"/>
            </w:pPr>
            <w:r>
              <w:t xml:space="preserve">Diagnostic des résidus</w:t>
            </w:r>
          </w:p>
        </w:tc>
        <w:tc>
          <w:tcPr/>
          <w:p>
            <w:pPr>
              <w:pStyle w:val="Compact"/>
            </w:pPr>
            <w:r>
              <w:rPr>
                <w:rStyle w:val="VerbatimChar"/>
              </w:rPr>
              <w:t xml:space="preserve">Box.test</w:t>
            </w:r>
            <w:r>
              <w:t xml:space="preserve">,</w:t>
            </w:r>
            <w:r>
              <w:t xml:space="preserve"> </w:t>
            </w:r>
            <w:r>
              <w:rPr>
                <w:rStyle w:val="VerbatimChar"/>
              </w:rPr>
              <w:t xml:space="preserve">jarque.bera.test</w:t>
            </w:r>
            <w:r>
              <w:t xml:space="preserve">,</w:t>
            </w:r>
            <w:r>
              <w:t xml:space="preserve"> </w:t>
            </w:r>
            <w:r>
              <w:rPr>
                <w:rStyle w:val="VerbatimChar"/>
              </w:rPr>
              <w:t xml:space="preserve">FinTS::ArchTest</w:t>
            </w:r>
          </w:p>
        </w:tc>
        <w:tc>
          <w:tcPr/>
          <w:p>
            <w:pPr>
              <w:pStyle w:val="Compact"/>
            </w:pPr>
            <w:r>
              <w:rPr>
                <w:rStyle w:val="VerbatimChar"/>
              </w:rPr>
              <w:t xml:space="preserve">acorr_ljungbox</w:t>
            </w:r>
            <w:r>
              <w:t xml:space="preserve">,</w:t>
            </w:r>
            <w:r>
              <w:t xml:space="preserve"> </w:t>
            </w:r>
            <w:r>
              <w:rPr>
                <w:rStyle w:val="VerbatimChar"/>
              </w:rPr>
              <w:t xml:space="preserve">jarque_bera</w:t>
            </w:r>
            <w:r>
              <w:t xml:space="preserve">,</w:t>
            </w:r>
            <w:r>
              <w:t xml:space="preserve"> </w:t>
            </w:r>
            <w:r>
              <w:rPr>
                <w:rStyle w:val="VerbatimChar"/>
              </w:rPr>
              <w:t xml:space="preserve">het_arch</w:t>
            </w:r>
          </w:p>
        </w:tc>
      </w:tr>
      <w:tr>
        <w:tc>
          <w:tcPr/>
          <w:p>
            <w:pPr>
              <w:pStyle w:val="Compact"/>
            </w:pPr>
            <w:r>
              <w:t xml:space="preserve">VAR et Granger</w:t>
            </w:r>
          </w:p>
        </w:tc>
        <w:tc>
          <w:tcPr/>
          <w:p>
            <w:pPr>
              <w:pStyle w:val="Compact"/>
            </w:pPr>
            <w:r>
              <w:rPr>
                <w:rStyle w:val="VerbatimChar"/>
              </w:rPr>
              <w:t xml:space="preserve">vars::VAR</w:t>
            </w:r>
            <w:r>
              <w:t xml:space="preserve">, test de Wald</w:t>
            </w:r>
          </w:p>
        </w:tc>
        <w:tc>
          <w:tcPr/>
          <w:p>
            <w:pPr>
              <w:pStyle w:val="Compact"/>
            </w:pPr>
            <w:r>
              <w:rPr>
                <w:rStyle w:val="VerbatimChar"/>
              </w:rPr>
              <w:t xml:space="preserve">VAR</w:t>
            </w:r>
            <w:r>
              <w:t xml:space="preserve">,</w:t>
            </w:r>
            <w:r>
              <w:t xml:space="preserve"> </w:t>
            </w:r>
            <w:r>
              <w:rPr>
                <w:rStyle w:val="VerbatimChar"/>
              </w:rPr>
              <w:t xml:space="preserve">test_causality</w:t>
            </w:r>
          </w:p>
        </w:tc>
      </w:tr>
      <w:tr>
        <w:tc>
          <w:tcPr/>
          <w:p>
            <w:pPr>
              <w:pStyle w:val="Compact"/>
            </w:pPr>
            <w:r>
              <w:t xml:space="preserve">Cointégration et VECM</w:t>
            </w:r>
          </w:p>
        </w:tc>
        <w:tc>
          <w:tcPr/>
          <w:p>
            <w:pPr>
              <w:pStyle w:val="Compact"/>
            </w:pPr>
            <w:r>
              <w:rPr>
                <w:rStyle w:val="VerbatimChar"/>
              </w:rPr>
              <w:t xml:space="preserve">urca::ca.jo</w:t>
            </w:r>
            <w:r>
              <w:t xml:space="preserve">,</w:t>
            </w:r>
            <w:r>
              <w:t xml:space="preserve"> </w:t>
            </w:r>
            <w:r>
              <w:rPr>
                <w:rStyle w:val="VerbatimChar"/>
              </w:rPr>
              <w:t xml:space="preserve">cajorls</w:t>
            </w:r>
          </w:p>
        </w:tc>
        <w:tc>
          <w:tcPr/>
          <w:p>
            <w:pPr>
              <w:pStyle w:val="Compact"/>
            </w:pPr>
            <w:r>
              <w:rPr>
                <w:rStyle w:val="VerbatimChar"/>
              </w:rPr>
              <w:t xml:space="preserve">coint_johansen</w:t>
            </w:r>
            <w:r>
              <w:t xml:space="preserve">,</w:t>
            </w:r>
            <w:r>
              <w:t xml:space="preserve"> </w:t>
            </w:r>
            <w:r>
              <w:rPr>
                <w:rStyle w:val="VerbatimChar"/>
              </w:rPr>
              <w:t xml:space="preserve">coint</w:t>
            </w:r>
            <w:r>
              <w:t xml:space="preserve">,</w:t>
            </w:r>
            <w:r>
              <w:t xml:space="preserve"> </w:t>
            </w:r>
            <w:r>
              <w:rPr>
                <w:rStyle w:val="VerbatimChar"/>
              </w:rPr>
              <w:t xml:space="preserve">VECM</w:t>
            </w:r>
          </w:p>
        </w:tc>
      </w:tr>
      <w:tr>
        <w:tc>
          <w:tcPr/>
          <w:p>
            <w:pPr>
              <w:pStyle w:val="Compact"/>
            </w:pPr>
            <w:r>
              <w:t xml:space="preserve">Volatilité</w:t>
            </w:r>
          </w:p>
        </w:tc>
        <w:tc>
          <w:tcPr/>
          <w:p>
            <w:pPr>
              <w:pStyle w:val="Compact"/>
            </w:pPr>
            <w:r>
              <w:rPr>
                <w:rStyle w:val="VerbatimChar"/>
              </w:rPr>
              <w:t xml:space="preserve">rugarch</w:t>
            </w:r>
          </w:p>
        </w:tc>
        <w:tc>
          <w:tcPr/>
          <w:p>
            <w:pPr>
              <w:pStyle w:val="Compact"/>
            </w:pPr>
            <w:r>
              <w:rPr>
                <w:rStyle w:val="VerbatimChar"/>
              </w:rPr>
              <w:t xml:space="preserve">arch</w:t>
            </w:r>
          </w:p>
        </w:tc>
      </w:tr>
      <w:tr>
        <w:tc>
          <w:tcPr/>
          <w:p>
            <w:pPr>
              <w:pStyle w:val="Compact"/>
            </w:pPr>
            <w:r>
              <w:t xml:space="preserve">Diebold-Mariano</w:t>
            </w:r>
          </w:p>
        </w:tc>
        <w:tc>
          <w:tcPr/>
          <w:p>
            <w:pPr>
              <w:pStyle w:val="Compact"/>
            </w:pPr>
            <w:r>
              <w:rPr>
                <w:rStyle w:val="VerbatimChar"/>
              </w:rPr>
              <w:t xml:space="preserve">forecast::dm.test</w:t>
            </w:r>
          </w:p>
        </w:tc>
        <w:tc>
          <w:tcPr/>
          <w:p>
            <w:pPr>
              <w:pStyle w:val="Compact"/>
            </w:pPr>
            <w:r>
              <w:t xml:space="preserve">fonction écrite dans le notebook</w:t>
            </w:r>
          </w:p>
        </w:tc>
      </w:tr>
    </w:tbl>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1"/>
        <w:szCs w:val="21"/>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7"/>
      <w:szCs w:val="17"/>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8" Target="media/rId68.png" /><Relationship Type="http://schemas.openxmlformats.org/officeDocument/2006/relationships/image" Id="rId75" Target="media/rId75.png" /><Relationship Type="http://schemas.openxmlformats.org/officeDocument/2006/relationships/image" Id="rId86" Target="media/rId86.png" /><Relationship Type="http://schemas.openxmlformats.org/officeDocument/2006/relationships/image" Id="rId90" Target="media/rId9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Prévoir la production photovoltaïque journalière à Tunis : des liens du rapport SolarVision aux séries temporelles</dc:title>
  <dc:creator>[Noms des membres du groupe]</dc:creator>
  <dc:language>fr</dc:language>
  <cp:keywords/>
  <dcterms:created xsi:type="dcterms:W3CDTF">2026-10-10T19:50:14Z</dcterms:created>
  <dcterms:modified xsi:type="dcterms:W3CDTF">2026-10-10T19:50:14Z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octobre 2026</vt:lpwstr>
  </property>
  <property fmtid="{D5CDD505-2E9C-101B-9397-08002B2CF9AE}" pid="3" name="subtitle">
    <vt:lpwstr>Mini-projet Séries Temporelles pour Data Science &amp; IA - TEK-UP - option B (environnement et énergie)</vt:lpwstr>
  </property>
  <property fmtid="{D5CDD505-2E9C-101B-9397-08002B2CF9AE}" pid="4" name="toc-title">
    <vt:lpwstr>Sommaire</vt:lpwstr>
  </property>
</Properties>
</file>