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9.png" ContentType="image/png"/>
  <Override PartName="/word/media/rId82.png" ContentType="image/png"/>
  <Override PartName="/word/media/rId86.png" ContentType="image/png"/>
  <Override PartName="/word/media/rId79.png" ContentType="image/png"/>
  <Override PartName="/word/media/rId41.png" ContentType="image/png"/>
  <Override PartName="/word/media/rId47.png" ContentType="image/png"/>
  <Override PartName="/word/media/rId51.png" ContentType="image/png"/>
  <Override PartName="/word/media/rId59.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Prévoir la production photovoltaïque journalière : villes, technologies et bénéfices</w:t>
      </w:r>
    </w:p>
    <w:p>
      <w:pPr>
        <w:pStyle w:val="Subtitle"/>
      </w:pPr>
      <w:r>
        <w:t xml:space="preserve">Mini-projet Séries Temporelles pour Data Science &amp; IA - TEK-UP - option B (environnement et énergie)</w:t>
      </w:r>
    </w:p>
    <w:p>
      <w:pPr>
        <w:pStyle w:val="Author"/>
      </w:pPr>
      <w:r>
        <w:t xml:space="preserve">[Noms des membres du groupe : à renseigner dans configs/params.yaml]</w:t>
      </w:r>
    </w:p>
    <w:p>
      <w:pPr>
        <w:pStyle w:val="Date"/>
      </w:pPr>
      <w:r>
        <w:t xml:space="preserve">12 octobre 2026</w:t>
      </w:r>
    </w:p>
    <w:sdt>
      <w:sdtPr>
        <w:docPartObj>
          <w:docPartGallery w:val="Table of Contents"/>
          <w:docPartUnique/>
        </w:docPartObj>
      </w:sdtPr>
      <w:sdtContent>
        <w:p>
          <w:pPr>
            <w:pStyle w:val="TOCHeading"/>
          </w:pPr>
          <w:r>
            <w:t xml:space="preserve">Sommaire</w:t>
          </w:r>
        </w:p>
        <w:p>
          <w:r>
            <w:fldChar w:fldCharType="begin" w:dirty="true"/>
            <w:instrText xml:space="preserve">TOC \o "1-2" \h \z \u</w:instrText>
            <w:fldChar w:fldCharType="separate"/>
            <w:fldChar w:fldCharType="end"/>
          </w:r>
        </w:p>
      </w:sdtContent>
    </w:sdt>
    <w:p>
      <w:r>
        <w:br w:type="page"/>
      </w:r>
    </w:p>
    <w:bookmarkStart w:id="20" w:name="introduction"/>
    <w:p>
      <w:pPr>
        <w:pStyle w:val="Heading1"/>
      </w:pPr>
      <w:r>
        <w:t xml:space="preserve">1. Introduction</w:t>
      </w:r>
    </w:p>
    <w:p>
      <w:pPr>
        <w:pStyle w:val="FirstParagraph"/>
      </w:pPr>
      <w:r>
        <w:rPr>
          <w:b/>
          <w:bCs/>
        </w:rPr>
        <w:t xml:space="preserve">Thématique.</w:t>
      </w:r>
      <w:r>
        <w:t xml:space="preserve"> </w:t>
      </w:r>
      <w:r>
        <w:t xml:space="preserve">Nous avons retenu l’option B (environnement et énergie) et la production photovoltaïque journalière,</w:t>
      </w:r>
      <w:r>
        <w:t xml:space="preserve"> </w:t>
      </w:r>
      <w:r>
        <w:t xml:space="preserve">parce qu’elle pose un vrai problème de séries temporelles : une saisonnalité forte et connue à l’avance, à laquelle</w:t>
      </w:r>
      <w:r>
        <w:t xml:space="preserve"> </w:t>
      </w:r>
      <w:r>
        <w:t xml:space="preserve">s’ajoute une météo que rien, dans le passé de la série, ne permet de prévoir longtemps.</w:t>
      </w:r>
    </w:p>
    <w:p>
      <w:pPr>
        <w:pStyle w:val="BodyText"/>
      </w:pPr>
      <w:r>
        <w:rPr>
          <w:b/>
          <w:bCs/>
        </w:rPr>
        <w:t xml:space="preserve">Enjeu.</w:t>
      </w:r>
      <w:r>
        <w:t xml:space="preserve"> </w:t>
      </w:r>
      <w:r>
        <w:t xml:space="preserve">Un exploitant de toitures solaires doit connaître la production des jours suivants pour planifier</w:t>
      </w:r>
      <w:r>
        <w:t xml:space="preserve"> </w:t>
      </w:r>
      <w:r>
        <w:t xml:space="preserve">l’entretien, piloter une batterie ou s’engager auprès du réseau. Un architecte doit choisir une technologie de modules</w:t>
      </w:r>
      <w:r>
        <w:t xml:space="preserve"> </w:t>
      </w:r>
      <w:r>
        <w:t xml:space="preserve">et chiffrer ce qu’elle rapportera.</w:t>
      </w:r>
    </w:p>
    <w:p>
      <w:pPr>
        <w:pStyle w:val="BodyText"/>
      </w:pPr>
      <w:r>
        <w:rPr>
          <w:b/>
          <w:bCs/>
        </w:rPr>
        <w:t xml:space="preserve">Questions.</w:t>
      </w:r>
    </w:p>
    <w:p>
      <w:pPr>
        <w:pStyle w:val="Compact"/>
        <w:numPr>
          <w:ilvl w:val="0"/>
          <w:numId w:val="1001"/>
        </w:numPr>
      </w:pPr>
      <w:r>
        <w:t xml:space="preserve">Peut-on prévoir de J+1 à J+7 la production journalière d’une installation de 1 kWc, et que gagne-t-on sur la simple normale saisonnière ?</w:t>
      </w:r>
    </w:p>
    <w:p>
      <w:pPr>
        <w:pStyle w:val="Compact"/>
        <w:numPr>
          <w:ilvl w:val="0"/>
          <w:numId w:val="1001"/>
        </w:numPr>
      </w:pPr>
      <w:r>
        <w:t xml:space="preserve">La réponse dépend-elle de la ville et du climat ?</w:t>
      </w:r>
    </w:p>
    <w:p>
      <w:pPr>
        <w:pStyle w:val="Compact"/>
        <w:numPr>
          <w:ilvl w:val="0"/>
          <w:numId w:val="1001"/>
        </w:numPr>
      </w:pPr>
      <w:r>
        <w:t xml:space="preserve">Quelle technologie de modules est la plus fiable dans chaque ville, et avec quelle certitude ?</w:t>
      </w:r>
    </w:p>
    <w:p>
      <w:pPr>
        <w:pStyle w:val="Compact"/>
        <w:numPr>
          <w:ilvl w:val="0"/>
          <w:numId w:val="1001"/>
        </w:numPr>
      </w:pPr>
      <w:r>
        <w:t xml:space="preserve">Que rapporte une installation, compte tenu de l’incertitude sur les prix ?</w:t>
      </w:r>
    </w:p>
    <w:p>
      <w:pPr>
        <w:pStyle w:val="FirstParagraph"/>
      </w:pPr>
      <w:r>
        <w:rPr>
          <w:b/>
          <w:bCs/>
        </w:rPr>
        <w:t xml:space="preserve">Périmètre.</w:t>
      </w:r>
      <w:r>
        <w:t xml:space="preserve"> </w:t>
      </w:r>
      <w:r>
        <w:t xml:space="preserve">L’étude porte sur 30 villes (10 en Espagne, 10 en France, 10 en Tunisie),</w:t>
      </w:r>
      <w:r>
        <w:t xml:space="preserve"> </w:t>
      </w:r>
      <w:r>
        <w:t xml:space="preserve">de 2005 à 2023, soit 6 939 jours par ville, et sur</w:t>
      </w:r>
      <w:r>
        <w:t xml:space="preserve"> </w:t>
      </w:r>
      <w:r>
        <w:t xml:space="preserve">3 technologies (crystSi, CIS, CdTe).</w:t>
      </w:r>
      <w:r>
        <w:t xml:space="preserve"> </w:t>
      </w:r>
      <w:r>
        <w:t xml:space="preserve">Elle prolonge une première étude sur 9 villes, dont elle garde le socle classique détaillé sur Tunis.</w:t>
      </w:r>
    </w:p>
    <w:p>
      <w:pPr>
        <w:pStyle w:val="BodyText"/>
      </w:pPr>
      <w:r>
        <w:rPr>
          <w:b/>
          <w:bCs/>
        </w:rPr>
        <w:t xml:space="preserve">Démarche.</w:t>
      </w:r>
      <w:r>
        <w:t xml:space="preserve"> </w:t>
      </w:r>
      <w:r>
        <w:t xml:space="preserve">Chaque choix est justifié par un diagnostic. Tous les modèles sont comparés sur les mêmes dates de test,</w:t>
      </w:r>
      <w:r>
        <w:t xml:space="preserve"> </w:t>
      </w:r>
      <w:r>
        <w:t xml:space="preserve">avec les mêmes métriques et deux références naïves, et les écarts sont testés. Deux scénarios restent toujours séparés :</w:t>
      </w:r>
      <w:r>
        <w:t xml:space="preserve"> </w:t>
      </w:r>
      <w:r>
        <w:rPr>
          <w:i/>
          <w:iCs/>
        </w:rPr>
        <w:t xml:space="preserve">ex ante</w:t>
      </w:r>
      <w:r>
        <w:t xml:space="preserve">, où le modèle ne connaît rien du futur, et</w:t>
      </w:r>
      <w:r>
        <w:t xml:space="preserve"> </w:t>
      </w:r>
      <w:r>
        <w:rPr>
          <w:i/>
          <w:iCs/>
        </w:rPr>
        <w:t xml:space="preserve">ex post</w:t>
      </w:r>
      <w:r>
        <w:t xml:space="preserve">, où il reçoit la météo observée des jours visés. Seul le</w:t>
      </w:r>
      <w:r>
        <w:t xml:space="preserve"> </w:t>
      </w:r>
      <w:r>
        <w:t xml:space="preserve">premier est une performance opérationnelle. Les résultats négatifs sont rapportés comme les autres.</w:t>
      </w:r>
    </w:p>
    <w:p>
      <w:pPr>
        <w:pStyle w:val="BodyText"/>
      </w:pPr>
      <w:r>
        <w:rPr>
          <w:b/>
          <w:bCs/>
        </w:rPr>
        <w:t xml:space="preserve">Plan.</w:t>
      </w:r>
      <w:r>
        <w:t xml:space="preserve"> </w:t>
      </w:r>
      <w:r>
        <w:t xml:space="preserve">Le chapitre 2 présente les données, le chapitre 3 leur exploration, les chapitres 4 et 5 les modèles classiques</w:t>
      </w:r>
      <w:r>
        <w:t xml:space="preserve"> </w:t>
      </w:r>
      <w:r>
        <w:t xml:space="preserve">et avancés. Les chapitres 6 et 7 traitent des technologies et de l’économie, le chapitre 8 de l’architecture. Le chapitre 9</w:t>
      </w:r>
      <w:r>
        <w:t xml:space="preserve"> </w:t>
      </w:r>
      <w:r>
        <w:t xml:space="preserve">porte sur l’IA générative, le chapitre 10 sur l’évaluation des prévisions, le chapitre 11 sur les limites.</w:t>
      </w:r>
    </w:p>
    <w:p>
      <w:r>
        <w:br w:type="page"/>
      </w:r>
    </w:p>
    <w:bookmarkEnd w:id="20"/>
    <w:bookmarkStart w:id="28" w:name="données-et-villes"/>
    <w:p>
      <w:pPr>
        <w:pStyle w:val="Heading1"/>
      </w:pPr>
      <w:r>
        <w:t xml:space="preserve">2. Données et villes</w:t>
      </w:r>
    </w:p>
    <w:bookmarkStart w:id="21" w:name="sources"/>
    <w:p>
      <w:pPr>
        <w:pStyle w:val="Heading2"/>
      </w:pPr>
      <w:r>
        <w:t xml:space="preserve">2.1 Sources</w:t>
      </w:r>
    </w:p>
    <w:p>
      <w:pPr>
        <w:pStyle w:val="TableCaption"/>
      </w:pPr>
      <w:r>
        <w:t xml:space="preserve">Sources de données et volume du cache brut.</w:t>
      </w:r>
    </w:p>
    <w:tbl>
      <w:tblPr>
        <w:tblStyle w:val="Table"/>
        <w:tblW w:type="pct" w:w="5000"/>
        <w:tblLayout w:type="fixed"/>
        <w:tblLook w:firstRow="1" w:lastRow="0" w:firstColumn="0" w:lastColumn="0" w:noHBand="0" w:noVBand="0" w:val="0020"/>
        <w:tblCaption w:val="Sources de données et volume du cache brut."/>
      </w:tblPr>
      <w:tblGrid>
        <w:gridCol w:w="1980"/>
        <w:gridCol w:w="1980"/>
        <w:gridCol w:w="1980"/>
        <w:gridCol w:w="1980"/>
      </w:tblGrid>
      <w:tr>
        <w:trPr>
          <w:tblHeader w:val="on"/>
        </w:trPr>
        <w:tc>
          <w:tcPr/>
          <w:p>
            <w:pPr>
              <w:pStyle w:val="Compact"/>
            </w:pPr>
            <w:r>
              <w:t xml:space="preserve">Source</w:t>
            </w:r>
          </w:p>
        </w:tc>
        <w:tc>
          <w:tcPr/>
          <w:p>
            <w:pPr>
              <w:pStyle w:val="Compact"/>
            </w:pPr>
            <w:r>
              <w:t xml:space="preserve">Contenu</w:t>
            </w:r>
          </w:p>
        </w:tc>
        <w:tc>
          <w:tcPr/>
          <w:p>
            <w:pPr>
              <w:pStyle w:val="Compact"/>
            </w:pPr>
            <w:r>
              <w:t xml:space="preserve">Fichiers</w:t>
            </w:r>
          </w:p>
        </w:tc>
        <w:tc>
          <w:tcPr/>
          <w:p>
            <w:pPr>
              <w:pStyle w:val="Compact"/>
            </w:pPr>
            <w:r>
              <w:t xml:space="preserve">Volume (Mo)</w:t>
            </w:r>
          </w:p>
        </w:tc>
      </w:tr>
      <w:tr>
        <w:tc>
          <w:tcPr/>
          <w:p>
            <w:pPr>
              <w:pStyle w:val="Compact"/>
            </w:pPr>
            <w:r>
              <w:t xml:space="preserve">PVGIS 5.3 (Commission européenne, JRC)</w:t>
            </w:r>
          </w:p>
        </w:tc>
        <w:tc>
          <w:tcPr/>
          <w:p>
            <w:pPr>
              <w:pStyle w:val="Compact"/>
            </w:pPr>
            <w:r>
              <w:t xml:space="preserve">Puissance horaire d’1 kWc pour 3 technologies, éclairement, température, vent</w:t>
            </w:r>
          </w:p>
        </w:tc>
        <w:tc>
          <w:tcPr/>
          <w:p>
            <w:pPr>
              <w:pStyle w:val="Compact"/>
            </w:pPr>
            <w:r>
              <w:t xml:space="preserve">518</w:t>
            </w:r>
          </w:p>
        </w:tc>
        <w:tc>
          <w:tcPr/>
          <w:p>
            <w:pPr>
              <w:pStyle w:val="Compact"/>
            </w:pPr>
            <w:r>
              <w:t xml:space="preserve">219</w:t>
            </w:r>
          </w:p>
        </w:tc>
      </w:tr>
      <w:tr>
        <w:tc>
          <w:tcPr/>
          <w:p>
            <w:pPr>
              <w:pStyle w:val="Compact"/>
            </w:pPr>
            <w:r>
              <w:t xml:space="preserve">Open-Meteo (réanalyse ERA5)</w:t>
            </w:r>
          </w:p>
        </w:tc>
        <w:tc>
          <w:tcPr/>
          <w:p>
            <w:pPr>
              <w:pStyle w:val="Compact"/>
            </w:pPr>
            <w:r>
              <w:t xml:space="preserve">Nébulosité, pluie, humidité, pression, rafales</w:t>
            </w:r>
          </w:p>
        </w:tc>
        <w:tc>
          <w:tcPr/>
          <w:p>
            <w:pPr>
              <w:pStyle w:val="Compact"/>
            </w:pPr>
            <w:r>
              <w:t xml:space="preserve">30</w:t>
            </w:r>
          </w:p>
        </w:tc>
        <w:tc>
          <w:tcPr/>
          <w:p>
            <w:pPr>
              <w:pStyle w:val="Compact"/>
            </w:pPr>
            <w:r>
              <w:t xml:space="preserve">14</w:t>
            </w:r>
          </w:p>
        </w:tc>
      </w:tr>
      <w:tr>
        <w:tc>
          <w:tcPr/>
          <w:p>
            <w:pPr>
              <w:pStyle w:val="Compact"/>
            </w:pPr>
            <w:r>
              <w:t xml:space="preserve">NASA POWER</w:t>
            </w:r>
          </w:p>
        </w:tc>
        <w:tc>
          <w:tcPr/>
          <w:p>
            <w:pPr>
              <w:pStyle w:val="Compact"/>
            </w:pPr>
            <w:r>
              <w:t xml:space="preserve">Rayonnement de contrôle, indice de clarté, aérosols</w:t>
            </w:r>
          </w:p>
        </w:tc>
        <w:tc>
          <w:tcPr/>
          <w:p>
            <w:pPr>
              <w:pStyle w:val="Compact"/>
            </w:pPr>
            <w:r>
              <w:t xml:space="preserve">30</w:t>
            </w:r>
          </w:p>
        </w:tc>
        <w:tc>
          <w:tcPr/>
          <w:p>
            <w:pPr>
              <w:pStyle w:val="Compact"/>
            </w:pPr>
            <w:r>
              <w:t xml:space="preserve">26</w:t>
            </w:r>
          </w:p>
        </w:tc>
      </w:tr>
    </w:tbl>
    <w:p>
      <w:pPr>
        <w:pStyle w:val="BodyText"/>
      </w:pPr>
      <w:r>
        <w:t xml:space="preserve">Toutes les sources sont publiques. PVGIS</w:t>
      </w:r>
      <w:r>
        <w:t xml:space="preserve"> </w:t>
      </w:r>
      <w:r>
        <w:rPr>
          <w:b/>
          <w:bCs/>
        </w:rPr>
        <w:t xml:space="preserve">simule</w:t>
      </w:r>
      <w:r>
        <w:t xml:space="preserve"> </w:t>
      </w:r>
      <w:r>
        <w:t xml:space="preserve">la production à partir du rayonnement mesuré par satellite</w:t>
      </w:r>
      <w:r>
        <w:t xml:space="preserve"> </w:t>
      </w:r>
      <w:r>
        <w:t xml:space="preserve">(base SARAH3) et de la météo ERA5 ; ce ne sont pas des mesures d’installations réelles. L’installation simulée est la</w:t>
      </w:r>
      <w:r>
        <w:t xml:space="preserve"> </w:t>
      </w:r>
      <w:r>
        <w:t xml:space="preserve">même partout : 1 kWc, plein sud, pente optimale du site, 14 % de pertes.</w:t>
      </w:r>
      <w:r>
        <w:t xml:space="preserve"> </w:t>
      </w:r>
      <w:r>
        <w:t xml:space="preserve">L’origine, la licence et l’empreinte SHA256 de chaque fichier sont dans</w:t>
      </w:r>
      <w:r>
        <w:t xml:space="preserve"> </w:t>
      </w:r>
      <w:r>
        <w:rPr>
          <w:rStyle w:val="VerbatimChar"/>
        </w:rPr>
        <w:t xml:space="preserve">data/manifest.yaml</w:t>
      </w:r>
      <w:r>
        <w:t xml:space="preserve">.</w:t>
      </w:r>
    </w:p>
    <w:bookmarkEnd w:id="21"/>
    <w:bookmarkStart w:id="25" w:name="villes"/>
    <w:p>
      <w:pPr>
        <w:pStyle w:val="Heading2"/>
      </w:pPr>
      <w:r>
        <w:t xml:space="preserve">2.2 Villes</w:t>
      </w:r>
    </w:p>
    <w:p>
      <w:pPr>
        <w:pStyle w:val="CaptionedFigure"/>
      </w:pPr>
      <w:r>
        <w:drawing>
          <wp:inline>
            <wp:extent cx="3959999" cy="3044940"/>
            <wp:effectExtent b="0" l="0" r="0" t="0"/>
            <wp:docPr descr="Les villes de l’étude." title="" id="23" name="Picture"/>
            <a:graphic>
              <a:graphicData uri="http://schemas.openxmlformats.org/drawingml/2006/picture">
                <pic:pic>
                  <pic:nvPicPr>
                    <pic:cNvPr descr="../figures/01_villes.png" id="24" name="Picture"/>
                    <pic:cNvPicPr>
                      <a:picLocks noChangeArrowheads="1" noChangeAspect="1"/>
                    </pic:cNvPicPr>
                  </pic:nvPicPr>
                  <pic:blipFill>
                    <a:blip r:embed="rId22"/>
                    <a:stretch>
                      <a:fillRect/>
                    </a:stretch>
                  </pic:blipFill>
                  <pic:spPr bwMode="auto">
                    <a:xfrm>
                      <a:off x="0" y="0"/>
                      <a:ext cx="3959999" cy="3044940"/>
                    </a:xfrm>
                    <a:prstGeom prst="rect">
                      <a:avLst/>
                    </a:prstGeom>
                    <a:noFill/>
                    <a:ln w="9525">
                      <a:noFill/>
                      <a:headEnd/>
                      <a:tailEnd/>
                    </a:ln>
                  </pic:spPr>
                </pic:pic>
              </a:graphicData>
            </a:graphic>
          </wp:inline>
        </w:drawing>
      </w:r>
    </w:p>
    <w:p>
      <w:pPr>
        <w:pStyle w:val="ImageCaption"/>
      </w:pPr>
      <w:r>
        <w:t xml:space="preserve">Les villes de l’étude.</w:t>
      </w:r>
    </w:p>
    <w:p>
      <w:pPr>
        <w:pStyle w:val="BodyText"/>
      </w:pPr>
      <w:r>
        <w:t xml:space="preserve">Les coordonnées de chaque ville ont été comparées à une référence indépendante (GeoNames) : aucune ne s’en écarte de plus de 2,0 km. Ajouter une ville revient à ajouter une ligne dans</w:t>
      </w:r>
      <w:r>
        <w:t xml:space="preserve"> </w:t>
      </w:r>
      <w:r>
        <w:rPr>
          <w:rStyle w:val="VerbatimChar"/>
        </w:rPr>
        <w:t xml:space="preserve">configs/cities.yaml</w:t>
      </w:r>
      <w:r>
        <w:t xml:space="preserve">.</w:t>
      </w:r>
    </w:p>
    <w:p>
      <w:pPr>
        <w:pStyle w:val="TableCaption"/>
      </w:pPr>
      <w:r>
        <w:t xml:space="preserve">Production annuelle moyenne par pays et par technologie (kWh/kWc/an).</w:t>
      </w:r>
    </w:p>
    <w:tbl>
      <w:tblPr>
        <w:tblStyle w:val="Table"/>
        <w:tblW w:type="auto" w:w="0"/>
        <w:tblLook w:firstRow="1" w:lastRow="0" w:firstColumn="0" w:lastColumn="0" w:noHBand="0" w:noVBand="0" w:val="0020"/>
        <w:tblCaption w:val="Production annuelle moyenne par pays et par technologie (kWh/kWc/an)."/>
      </w:tblPr>
      <w:tblGrid>
        <w:gridCol w:w="1584"/>
        <w:gridCol w:w="1584"/>
        <w:gridCol w:w="1584"/>
        <w:gridCol w:w="1584"/>
        <w:gridCol w:w="1584"/>
      </w:tblGrid>
      <w:tr>
        <w:trPr>
          <w:tblHeader w:val="on"/>
        </w:trPr>
        <w:tc>
          <w:tcPr/>
          <w:p>
            <w:pPr>
              <w:pStyle w:val="Compact"/>
            </w:pPr>
            <w:r>
              <w:t xml:space="preserve">Pays</w:t>
            </w:r>
          </w:p>
        </w:tc>
        <w:tc>
          <w:tcPr/>
          <w:p>
            <w:pPr>
              <w:pStyle w:val="Compact"/>
            </w:pPr>
            <w:r>
              <w:t xml:space="preserve">Villes</w:t>
            </w:r>
          </w:p>
        </w:tc>
        <w:tc>
          <w:tcPr/>
          <w:p>
            <w:pPr>
              <w:pStyle w:val="Compact"/>
            </w:pPr>
            <w:r>
              <w:t xml:space="preserve">crystSi</w:t>
            </w:r>
          </w:p>
        </w:tc>
        <w:tc>
          <w:tcPr/>
          <w:p>
            <w:pPr>
              <w:pStyle w:val="Compact"/>
            </w:pPr>
            <w:r>
              <w:t xml:space="preserve">CIS</w:t>
            </w:r>
          </w:p>
        </w:tc>
        <w:tc>
          <w:tcPr/>
          <w:p>
            <w:pPr>
              <w:pStyle w:val="Compact"/>
            </w:pPr>
            <w:r>
              <w:t xml:space="preserve">CdTe</w:t>
            </w:r>
          </w:p>
        </w:tc>
      </w:tr>
      <w:tr>
        <w:tc>
          <w:tcPr/>
          <w:p>
            <w:pPr>
              <w:pStyle w:val="Compact"/>
            </w:pPr>
            <w:r>
              <w:t xml:space="preserve">Espagne</w:t>
            </w:r>
          </w:p>
        </w:tc>
        <w:tc>
          <w:tcPr/>
          <w:p>
            <w:pPr>
              <w:pStyle w:val="Compact"/>
            </w:pPr>
            <w:r>
              <w:t xml:space="preserve">10</w:t>
            </w:r>
          </w:p>
        </w:tc>
        <w:tc>
          <w:tcPr/>
          <w:p>
            <w:pPr>
              <w:pStyle w:val="Compact"/>
            </w:pPr>
            <w:r>
              <w:t xml:space="preserve">1 580</w:t>
            </w:r>
          </w:p>
        </w:tc>
        <w:tc>
          <w:tcPr/>
          <w:p>
            <w:pPr>
              <w:pStyle w:val="Compact"/>
            </w:pPr>
            <w:r>
              <w:t xml:space="preserve">1 564</w:t>
            </w:r>
          </w:p>
        </w:tc>
        <w:tc>
          <w:tcPr/>
          <w:p>
            <w:pPr>
              <w:pStyle w:val="Compact"/>
            </w:pPr>
            <w:r>
              <w:t xml:space="preserve">1 611</w:t>
            </w:r>
          </w:p>
        </w:tc>
      </w:tr>
      <w:tr>
        <w:tc>
          <w:tcPr/>
          <w:p>
            <w:pPr>
              <w:pStyle w:val="Compact"/>
            </w:pPr>
            <w:r>
              <w:t xml:space="preserve">France</w:t>
            </w:r>
          </w:p>
        </w:tc>
        <w:tc>
          <w:tcPr/>
          <w:p>
            <w:pPr>
              <w:pStyle w:val="Compact"/>
            </w:pPr>
            <w:r>
              <w:t xml:space="preserve">10</w:t>
            </w:r>
          </w:p>
        </w:tc>
        <w:tc>
          <w:tcPr/>
          <w:p>
            <w:pPr>
              <w:pStyle w:val="Compact"/>
            </w:pPr>
            <w:r>
              <w:t xml:space="preserve">1 299</w:t>
            </w:r>
          </w:p>
        </w:tc>
        <w:tc>
          <w:tcPr/>
          <w:p>
            <w:pPr>
              <w:pStyle w:val="Compact"/>
            </w:pPr>
            <w:r>
              <w:t xml:space="preserve">1 284</w:t>
            </w:r>
          </w:p>
        </w:tc>
        <w:tc>
          <w:tcPr/>
          <w:p>
            <w:pPr>
              <w:pStyle w:val="Compact"/>
            </w:pPr>
            <w:r>
              <w:t xml:space="preserve">1 306</w:t>
            </w:r>
          </w:p>
        </w:tc>
      </w:tr>
      <w:tr>
        <w:tc>
          <w:tcPr/>
          <w:p>
            <w:pPr>
              <w:pStyle w:val="Compact"/>
            </w:pPr>
            <w:r>
              <w:t xml:space="preserve">Tunisie</w:t>
            </w:r>
          </w:p>
        </w:tc>
        <w:tc>
          <w:tcPr/>
          <w:p>
            <w:pPr>
              <w:pStyle w:val="Compact"/>
            </w:pPr>
            <w:r>
              <w:t xml:space="preserve">10</w:t>
            </w:r>
          </w:p>
        </w:tc>
        <w:tc>
          <w:tcPr/>
          <w:p>
            <w:pPr>
              <w:pStyle w:val="Compact"/>
            </w:pPr>
            <w:r>
              <w:t xml:space="preserve">1 713</w:t>
            </w:r>
          </w:p>
        </w:tc>
        <w:tc>
          <w:tcPr/>
          <w:p>
            <w:pPr>
              <w:pStyle w:val="Compact"/>
            </w:pPr>
            <w:r>
              <w:t xml:space="preserve">1 696</w:t>
            </w:r>
          </w:p>
        </w:tc>
        <w:tc>
          <w:tcPr/>
          <w:p>
            <w:pPr>
              <w:pStyle w:val="Compact"/>
            </w:pPr>
            <w:r>
              <w:t xml:space="preserve">1 759</w:t>
            </w:r>
          </w:p>
        </w:tc>
      </w:tr>
    </w:tbl>
    <w:bookmarkEnd w:id="25"/>
    <w:bookmarkStart w:id="26" w:name="qualité-et-imputation"/>
    <w:p>
      <w:pPr>
        <w:pStyle w:val="Heading2"/>
      </w:pPr>
      <w:r>
        <w:t xml:space="preserve">2.3 Qualité et imputation</w:t>
      </w:r>
    </w:p>
    <w:p>
      <w:pPr>
        <w:pStyle w:val="FirstParagraph"/>
      </w:pPr>
      <w:r>
        <w:t xml:space="preserve">Chaque table compte 6 939 jours. Aucune valeur ne manque. PVGIS enregistre un rayonnement nul certains jours où l’image satellitaire manque : 11 à 15 jours par ville, soit 374 au total. 30 villes sur 30 passent tous les contrôles.</w:t>
      </w:r>
    </w:p>
    <w:p>
      <w:pPr>
        <w:pStyle w:val="BodyText"/>
      </w:pPr>
      <w:r>
        <w:t xml:space="preserve">Un jour est corrigé si la hauteur du soleil donnée par PVGIS est inférieure de plus de 5° à la</w:t>
      </w:r>
      <w:r>
        <w:t xml:space="preserve"> </w:t>
      </w:r>
      <w:r>
        <w:t xml:space="preserve">hauteur astronomique à midi, ou si l’irradiation PVGIS vaut moins de 25 % de celle de</w:t>
      </w:r>
      <w:r>
        <w:t xml:space="preserve"> </w:t>
      </w:r>
      <w:r>
        <w:t xml:space="preserve">NASA POWER un jour où NASA POWER dépasse 1,5 kWh/m². La valeur corrigée est l’irradiation</w:t>
      </w:r>
      <w:r>
        <w:t xml:space="preserve"> </w:t>
      </w:r>
      <w:r>
        <w:t xml:space="preserve">NASA POWER du jour multipliée par le rapport médian PVGIS / NASA des 31 jours voisins. La même</w:t>
      </w:r>
      <w:r>
        <w:t xml:space="preserve"> </w:t>
      </w:r>
      <w:r>
        <w:t xml:space="preserve">correction s’applique aux trois technologies. Le jour reste signalé par la colonne</w:t>
      </w:r>
      <w:r>
        <w:t xml:space="preserve"> </w:t>
      </w:r>
      <w:r>
        <w:rPr>
          <w:rStyle w:val="VerbatimChar"/>
        </w:rPr>
        <w:t xml:space="preserve">jour_impute_pvgis</w:t>
      </w:r>
      <w:r>
        <w:t xml:space="preserve">. À Tunis, les 13 dates repérées sont exactement celles de la première étude, ce qu’un test automatique vérifie contre l’ancien jeu de données et non contre la règle elle-même.</w:t>
      </w:r>
    </w:p>
    <w:bookmarkEnd w:id="26"/>
    <w:bookmarkStart w:id="27" w:name="découpage"/>
    <w:p>
      <w:pPr>
        <w:pStyle w:val="Heading2"/>
      </w:pPr>
      <w:r>
        <w:t xml:space="preserve">2.4 Découpage</w:t>
      </w:r>
    </w:p>
    <w:p>
      <w:pPr>
        <w:pStyle w:val="FirstParagraph"/>
      </w:pPr>
      <w:r>
        <w:t xml:space="preserve">Le découpage est chronologique, sans tirage aléatoire : 6 245 jours d’apprentissage (du 2005-01-01 au</w:t>
      </w:r>
      <w:r>
        <w:t xml:space="preserve"> </w:t>
      </w:r>
      <w:r>
        <w:t xml:space="preserve">2022-02-05) et 694 jours de test (du 2022-02-06 au 2023-12-31). Le panel de</w:t>
      </w:r>
      <w:r>
        <w:t xml:space="preserve"> </w:t>
      </w:r>
      <w:r>
        <w:t xml:space="preserve">modélisation compte 208 170 lignes et 61 colonnes. Chaque colonne a un rôle déclaré : identifiant,</w:t>
      </w:r>
      <w:r>
        <w:t xml:space="preserve"> </w:t>
      </w:r>
      <w:r>
        <w:t xml:space="preserve">cible, variable ex ante ou variable ex post. Un test falsifie le futur et vérifie qu’aucune variable ex ante ne change.</w:t>
      </w:r>
    </w:p>
    <w:p>
      <w:r>
        <w:br w:type="page"/>
      </w:r>
    </w:p>
    <w:bookmarkEnd w:id="27"/>
    <w:bookmarkEnd w:id="28"/>
    <w:bookmarkStart w:id="35" w:name="analyse-exploratoire"/>
    <w:p>
      <w:pPr>
        <w:pStyle w:val="Heading1"/>
      </w:pPr>
      <w:r>
        <w:t xml:space="preserve">3. Analyse exploratoire</w:t>
      </w:r>
    </w:p>
    <w:bookmarkStart w:id="32" w:name="saisonnalité"/>
    <w:p>
      <w:pPr>
        <w:pStyle w:val="Heading2"/>
      </w:pPr>
      <w:r>
        <w:t xml:space="preserve">3.1 Saisonnalité</w:t>
      </w:r>
    </w:p>
    <w:p>
      <w:pPr>
        <w:pStyle w:val="CaptionedFigure"/>
      </w:pPr>
      <w:r>
        <w:drawing>
          <wp:inline>
            <wp:extent cx="4319999" cy="2961625"/>
            <wp:effectExtent b="0" l="0" r="0" t="0"/>
            <wp:docPr descr="Production moyenne par mois et par pays." title="" id="30" name="Picture"/>
            <a:graphic>
              <a:graphicData uri="http://schemas.openxmlformats.org/drawingml/2006/picture">
                <pic:pic>
                  <pic:nvPicPr>
                    <pic:cNvPr descr="../figures/02_profils_saisonniers.png" id="31" name="Picture"/>
                    <pic:cNvPicPr>
                      <a:picLocks noChangeArrowheads="1" noChangeAspect="1"/>
                    </pic:cNvPicPr>
                  </pic:nvPicPr>
                  <pic:blipFill>
                    <a:blip r:embed="rId29"/>
                    <a:stretch>
                      <a:fillRect/>
                    </a:stretch>
                  </pic:blipFill>
                  <pic:spPr bwMode="auto">
                    <a:xfrm>
                      <a:off x="0" y="0"/>
                      <a:ext cx="4319999" cy="2961625"/>
                    </a:xfrm>
                    <a:prstGeom prst="rect">
                      <a:avLst/>
                    </a:prstGeom>
                    <a:noFill/>
                    <a:ln w="9525">
                      <a:noFill/>
                      <a:headEnd/>
                      <a:tailEnd/>
                    </a:ln>
                  </pic:spPr>
                </pic:pic>
              </a:graphicData>
            </a:graphic>
          </wp:inline>
        </w:drawing>
      </w:r>
    </w:p>
    <w:p>
      <w:pPr>
        <w:pStyle w:val="ImageCaption"/>
      </w:pPr>
      <w:r>
        <w:t xml:space="preserve">Production moyenne par mois et par pays.</w:t>
      </w:r>
    </w:p>
    <w:p>
      <w:pPr>
        <w:pStyle w:val="BodyText"/>
      </w:pPr>
      <w:r>
        <w:t xml:space="preserve">La production suit un cycle annuel dans toutes les villes. À Tunis, la production moyenne vaut 4,29 kWh/kWc par jour, de 3,06 en décembre à 5,43 en juillet. Le rapport entre le meilleur et le moins bon mois va de</w:t>
      </w:r>
      <w:r>
        <w:t xml:space="preserve"> </w:t>
      </w:r>
      <w:r>
        <w:t xml:space="preserve">1,3 à Tozeur à 3,7 à Strasbourg : plus on</w:t>
      </w:r>
      <w:r>
        <w:t xml:space="preserve"> </w:t>
      </w:r>
      <w:r>
        <w:t xml:space="preserve">monte en latitude, plus l’hiver pèse.</w:t>
      </w:r>
    </w:p>
    <w:bookmarkEnd w:id="32"/>
    <w:bookmarkStart w:id="33" w:name="statistiques-descriptives"/>
    <w:p>
      <w:pPr>
        <w:pStyle w:val="Heading2"/>
      </w:pPr>
      <w:r>
        <w:t xml:space="preserve">3.2 Statistiques descriptives</w:t>
      </w:r>
    </w:p>
    <w:p>
      <w:pPr>
        <w:pStyle w:val="TableCaption"/>
      </w:pPr>
      <w:r>
        <w:t xml:space="preserve">Statistiques de la production journalière sur l’apprentissage, moyennes par pays (kWh/kWc).</w:t>
      </w:r>
    </w:p>
    <w:tbl>
      <w:tblPr>
        <w:tblStyle w:val="Table"/>
        <w:tblW w:type="pct" w:w="5000"/>
        <w:tblLayout w:type="fixed"/>
        <w:tblLook w:firstRow="1" w:lastRow="0" w:firstColumn="0" w:lastColumn="0" w:noHBand="0" w:noVBand="0" w:val="0020"/>
        <w:tblCaption w:val="Statistiques de la production journalière sur l’apprentissage, moyennes par pays (kWh/kWc)."/>
      </w:tblPr>
      <w:tblGrid>
        <w:gridCol w:w="990"/>
        <w:gridCol w:w="990"/>
        <w:gridCol w:w="990"/>
        <w:gridCol w:w="990"/>
        <w:gridCol w:w="990"/>
        <w:gridCol w:w="990"/>
        <w:gridCol w:w="990"/>
        <w:gridCol w:w="990"/>
      </w:tblGrid>
      <w:tr>
        <w:trPr>
          <w:tblHeader w:val="on"/>
        </w:trPr>
        <w:tc>
          <w:tcPr/>
          <w:p>
            <w:pPr>
              <w:pStyle w:val="Compact"/>
            </w:pPr>
            <w:r>
              <w:t xml:space="preserve">Pays</w:t>
            </w:r>
          </w:p>
        </w:tc>
        <w:tc>
          <w:tcPr/>
          <w:p>
            <w:pPr>
              <w:pStyle w:val="Compact"/>
            </w:pPr>
            <w:r>
              <w:t xml:space="preserve">Moyenne</w:t>
            </w:r>
          </w:p>
        </w:tc>
        <w:tc>
          <w:tcPr/>
          <w:p>
            <w:pPr>
              <w:pStyle w:val="Compact"/>
            </w:pPr>
            <w:r>
              <w:t xml:space="preserve">Variance</w:t>
            </w:r>
          </w:p>
        </w:tc>
        <w:tc>
          <w:tcPr/>
          <w:p>
            <w:pPr>
              <w:pStyle w:val="Compact"/>
            </w:pPr>
            <w:r>
              <w:t xml:space="preserve">Skewness</w:t>
            </w:r>
          </w:p>
        </w:tc>
        <w:tc>
          <w:tcPr/>
          <w:p>
            <w:pPr>
              <w:pStyle w:val="Compact"/>
            </w:pPr>
            <w:r>
              <w:t xml:space="preserve">Kurtosis (excès)</w:t>
            </w:r>
          </w:p>
        </w:tc>
        <w:tc>
          <w:tcPr/>
          <w:p>
            <w:pPr>
              <w:pStyle w:val="Compact"/>
            </w:pPr>
            <w:r>
              <w:t xml:space="preserve">Été / hiver</w:t>
            </w:r>
          </w:p>
        </w:tc>
        <w:tc>
          <w:tcPr/>
          <w:p>
            <w:pPr>
              <w:pStyle w:val="Compact"/>
            </w:pPr>
            <w:r>
              <w:t xml:space="preserve">Variance saisonnière (%)</w:t>
            </w:r>
          </w:p>
        </w:tc>
        <w:tc>
          <w:tcPr/>
          <w:p>
            <w:pPr>
              <w:pStyle w:val="Compact"/>
            </w:pPr>
            <w:r>
              <w:t xml:space="preserve">Autocorrélation à 1 jour</w:t>
            </w:r>
          </w:p>
        </w:tc>
      </w:tr>
      <w:tr>
        <w:tc>
          <w:tcPr/>
          <w:p>
            <w:pPr>
              <w:pStyle w:val="Compact"/>
            </w:pPr>
            <w:r>
              <w:t xml:space="preserve">Espagne</w:t>
            </w:r>
          </w:p>
        </w:tc>
        <w:tc>
          <w:tcPr/>
          <w:p>
            <w:pPr>
              <w:pStyle w:val="Compact"/>
            </w:pPr>
            <w:r>
              <w:t xml:space="preserve">4,32</w:t>
            </w:r>
          </w:p>
        </w:tc>
        <w:tc>
          <w:tcPr/>
          <w:p>
            <w:pPr>
              <w:pStyle w:val="Compact"/>
            </w:pPr>
            <w:r>
              <w:t xml:space="preserve">2,20</w:t>
            </w:r>
          </w:p>
        </w:tc>
        <w:tc>
          <w:tcPr/>
          <w:p>
            <w:pPr>
              <w:pStyle w:val="Compact"/>
            </w:pPr>
            <w:r>
              <w:t xml:space="preserve">-1,00</w:t>
            </w:r>
          </w:p>
        </w:tc>
        <w:tc>
          <w:tcPr/>
          <w:p>
            <w:pPr>
              <w:pStyle w:val="Compact"/>
            </w:pPr>
            <w:r>
              <w:t xml:space="preserve">0,20</w:t>
            </w:r>
          </w:p>
        </w:tc>
        <w:tc>
          <w:tcPr/>
          <w:p>
            <w:pPr>
              <w:pStyle w:val="Compact"/>
            </w:pPr>
            <w:r>
              <w:t xml:space="preserve">1,6</w:t>
            </w:r>
          </w:p>
        </w:tc>
        <w:tc>
          <w:tcPr/>
          <w:p>
            <w:pPr>
              <w:pStyle w:val="Compact"/>
            </w:pPr>
            <w:r>
              <w:t xml:space="preserve">22</w:t>
            </w:r>
          </w:p>
        </w:tc>
        <w:tc>
          <w:tcPr/>
          <w:p>
            <w:pPr>
              <w:pStyle w:val="Compact"/>
            </w:pPr>
            <w:r>
              <w:t xml:space="preserve">0,34</w:t>
            </w:r>
          </w:p>
        </w:tc>
      </w:tr>
      <w:tr>
        <w:tc>
          <w:tcPr/>
          <w:p>
            <w:pPr>
              <w:pStyle w:val="Compact"/>
            </w:pPr>
            <w:r>
              <w:t xml:space="preserve">France</w:t>
            </w:r>
          </w:p>
        </w:tc>
        <w:tc>
          <w:tcPr/>
          <w:p>
            <w:pPr>
              <w:pStyle w:val="Compact"/>
            </w:pPr>
            <w:r>
              <w:t xml:space="preserve">3,54</w:t>
            </w:r>
          </w:p>
        </w:tc>
        <w:tc>
          <w:tcPr/>
          <w:p>
            <w:pPr>
              <w:pStyle w:val="Compact"/>
            </w:pPr>
            <w:r>
              <w:t xml:space="preserve">3,16</w:t>
            </w:r>
          </w:p>
        </w:tc>
        <w:tc>
          <w:tcPr/>
          <w:p>
            <w:pPr>
              <w:pStyle w:val="Compact"/>
            </w:pPr>
            <w:r>
              <w:t xml:space="preserve">-0,25</w:t>
            </w:r>
          </w:p>
        </w:tc>
        <w:tc>
          <w:tcPr/>
          <w:p>
            <w:pPr>
              <w:pStyle w:val="Compact"/>
            </w:pPr>
            <w:r>
              <w:t xml:space="preserve">-0,97</w:t>
            </w:r>
          </w:p>
        </w:tc>
        <w:tc>
          <w:tcPr/>
          <w:p>
            <w:pPr>
              <w:pStyle w:val="Compact"/>
            </w:pPr>
            <w:r>
              <w:t xml:space="preserve">2,6</w:t>
            </w:r>
          </w:p>
        </w:tc>
        <w:tc>
          <w:tcPr/>
          <w:p>
            <w:pPr>
              <w:pStyle w:val="Compact"/>
            </w:pPr>
            <w:r>
              <w:t xml:space="preserve">32</w:t>
            </w:r>
          </w:p>
        </w:tc>
        <w:tc>
          <w:tcPr/>
          <w:p>
            <w:pPr>
              <w:pStyle w:val="Compact"/>
            </w:pPr>
            <w:r>
              <w:t xml:space="preserve">0,32</w:t>
            </w:r>
          </w:p>
        </w:tc>
      </w:tr>
      <w:tr>
        <w:tc>
          <w:tcPr/>
          <w:p>
            <w:pPr>
              <w:pStyle w:val="Compact"/>
            </w:pPr>
            <w:r>
              <w:t xml:space="preserve">Tunisie</w:t>
            </w:r>
          </w:p>
        </w:tc>
        <w:tc>
          <w:tcPr/>
          <w:p>
            <w:pPr>
              <w:pStyle w:val="Compact"/>
            </w:pPr>
            <w:r>
              <w:t xml:space="preserve">4,68</w:t>
            </w:r>
          </w:p>
        </w:tc>
        <w:tc>
          <w:tcPr/>
          <w:p>
            <w:pPr>
              <w:pStyle w:val="Compact"/>
            </w:pPr>
            <w:r>
              <w:t xml:space="preserve">1,35</w:t>
            </w:r>
          </w:p>
        </w:tc>
        <w:tc>
          <w:tcPr/>
          <w:p>
            <w:pPr>
              <w:pStyle w:val="Compact"/>
            </w:pPr>
            <w:r>
              <w:t xml:space="preserve">-1,39</w:t>
            </w:r>
          </w:p>
        </w:tc>
        <w:tc>
          <w:tcPr/>
          <w:p>
            <w:pPr>
              <w:pStyle w:val="Compact"/>
            </w:pPr>
            <w:r>
              <w:t xml:space="preserve">1,90</w:t>
            </w:r>
          </w:p>
        </w:tc>
        <w:tc>
          <w:tcPr/>
          <w:p>
            <w:pPr>
              <w:pStyle w:val="Compact"/>
            </w:pPr>
            <w:r>
              <w:t xml:space="preserve">1,5</w:t>
            </w:r>
          </w:p>
        </w:tc>
        <w:tc>
          <w:tcPr/>
          <w:p>
            <w:pPr>
              <w:pStyle w:val="Compact"/>
            </w:pPr>
            <w:r>
              <w:t xml:space="preserve">26</w:t>
            </w:r>
          </w:p>
        </w:tc>
        <w:tc>
          <w:tcPr/>
          <w:p>
            <w:pPr>
              <w:pStyle w:val="Compact"/>
            </w:pPr>
            <w:r>
              <w:t xml:space="preserve">0,24</w:t>
            </w:r>
          </w:p>
        </w:tc>
      </w:tr>
    </w:tbl>
    <w:p>
      <w:pPr>
        <w:pStyle w:val="Compact"/>
        <w:numPr>
          <w:ilvl w:val="0"/>
          <w:numId w:val="1002"/>
        </w:numPr>
      </w:pPr>
      <w:r>
        <w:rPr>
          <w:b/>
          <w:bCs/>
        </w:rPr>
        <w:t xml:space="preserve">Asymétrie.</w:t>
      </w:r>
      <w:r>
        <w:t xml:space="preserve"> </w:t>
      </w:r>
      <w:r>
        <w:t xml:space="preserve">La distribution est asymétrique à gauche dans 26 villes sur 30 : la production est bornée par</w:t>
      </w:r>
      <w:r>
        <w:t xml:space="preserve"> </w:t>
      </w:r>
      <w:r>
        <w:t xml:space="preserve">le ciel clair, et les journées couvertes tirent vers le bas.</w:t>
      </w:r>
    </w:p>
    <w:p>
      <w:pPr>
        <w:pStyle w:val="Compact"/>
        <w:numPr>
          <w:ilvl w:val="0"/>
          <w:numId w:val="1002"/>
        </w:numPr>
      </w:pPr>
      <w:r>
        <w:rPr>
          <w:b/>
          <w:bCs/>
        </w:rPr>
        <w:t xml:space="preserve">Poids de la saison.</w:t>
      </w:r>
      <w:r>
        <w:t xml:space="preserve"> </w:t>
      </w:r>
      <w:r>
        <w:t xml:space="preserve">La normale saisonnière explique en moyenne 27 % de la</w:t>
      </w:r>
      <w:r>
        <w:t xml:space="preserve"> </w:t>
      </w:r>
      <w:r>
        <w:t xml:space="preserve">variance journalière. Le reste est la météo de court terme, seule partie à prévoir.</w:t>
      </w:r>
    </w:p>
    <w:p>
      <w:pPr>
        <w:pStyle w:val="Compact"/>
        <w:numPr>
          <w:ilvl w:val="0"/>
          <w:numId w:val="1002"/>
        </w:numPr>
      </w:pPr>
      <w:r>
        <w:rPr>
          <w:b/>
          <w:bCs/>
        </w:rPr>
        <w:t xml:space="preserve">Persistance faible.</w:t>
      </w:r>
      <w:r>
        <w:t xml:space="preserve"> </w:t>
      </w:r>
      <w:r>
        <w:t xml:space="preserve">Une fois la normale retirée, l’autocorrélation à un jour vaut en moyenne</w:t>
      </w:r>
      <w:r>
        <w:t xml:space="preserve"> </w:t>
      </w:r>
      <w:r>
        <w:t xml:space="preserve">0,30 (de 0,21 à 0,43) et</w:t>
      </w:r>
      <w:r>
        <w:t xml:space="preserve"> </w:t>
      </w:r>
      <w:r>
        <w:t xml:space="preserve">0,02 à sept jours. La météo d’un jour renseigne peu sur le lendemain et presque pas sur la</w:t>
      </w:r>
      <w:r>
        <w:t xml:space="preserve"> </w:t>
      </w:r>
      <w:r>
        <w:t xml:space="preserve">semaine suivante : c’est ce qui limitera tous les modèles ex ante.</w:t>
      </w:r>
    </w:p>
    <w:bookmarkEnd w:id="33"/>
    <w:bookmarkStart w:id="34" w:name="stationnarité"/>
    <w:p>
      <w:pPr>
        <w:pStyle w:val="Heading2"/>
      </w:pPr>
      <w:r>
        <w:t xml:space="preserve">3.3 Stationnarité</w:t>
      </w:r>
    </w:p>
    <w:p>
      <w:pPr>
        <w:pStyle w:val="FirstParagraph"/>
      </w:pPr>
      <w:r>
        <w:t xml:space="preserve">Deux tests complémentaires sont appliqués à l’écart à la normale saisonnière de chaque ville. L’ADF a pour hypothèse nulle</w:t>
      </w:r>
      <w:r>
        <w:t xml:space="preserve"> </w:t>
      </w:r>
      <w:r>
        <w:t xml:space="preserve">une racine unitaire ; le KPSS a pour hypothèse nulle la stationnarité. L’ADF rejette la racine unitaire dans 30 villes sur</w:t>
      </w:r>
      <w:r>
        <w:t xml:space="preserve"> </w:t>
      </w:r>
      <w:r>
        <w:t xml:space="preserve">30 (seuil de 5 %) et le KPSS ne rejette pas la stationnarité dans 23 villes. Les deux tests s’accordent sur</w:t>
      </w:r>
      <w:r>
        <w:t xml:space="preserve"> </w:t>
      </w:r>
      <w:r>
        <w:t xml:space="preserve">23 villes. La série est donc traitée en niveau, sans différenciation, le cycle annuel étant porté par des termes</w:t>
      </w:r>
      <w:r>
        <w:t xml:space="preserve"> </w:t>
      </w:r>
      <w:r>
        <w:t xml:space="preserve">déterministes.</w:t>
      </w:r>
    </w:p>
    <w:p>
      <w:pPr>
        <w:pStyle w:val="BodyText"/>
      </w:pPr>
      <w:r>
        <w:rPr>
          <w:b/>
          <w:bCs/>
        </w:rPr>
        <w:t xml:space="preserve">Étude détaillée de Tunis.</w:t>
      </w:r>
      <w:r>
        <w:t xml:space="preserve"> </w:t>
      </w:r>
      <w:r>
        <w:t xml:space="preserve">L’exploration complète de la série de Tunis (graphiques, ACF et PACF de la série brute, différenciée et désaisonnalisée, décomposition STL, valeurs aberrantes) est dans le notebook historique</w:t>
      </w:r>
      <w:r>
        <w:t xml:space="preserve"> </w:t>
      </w:r>
      <w:r>
        <w:rPr>
          <w:rStyle w:val="VerbatimChar"/>
        </w:rPr>
        <w:t xml:space="preserve">mini_projet_python.ipynb</w:t>
      </w:r>
      <w:r>
        <w:t xml:space="preserve"> </w:t>
      </w:r>
      <w:r>
        <w:t xml:space="preserve">et dans le notebook R. Sur la série brute, l’ADF vaut -5,84 (p = 0,000) et le KPSS 0,027 (p = 0,10) : conclusion « stationnaire », donc un ordre de différenciation d = 0.</w:t>
      </w:r>
    </w:p>
    <w:p>
      <w:r>
        <w:br w:type="page"/>
      </w:r>
    </w:p>
    <w:bookmarkEnd w:id="34"/>
    <w:bookmarkEnd w:id="35"/>
    <w:bookmarkStart w:id="40" w:name="modélisation-classique"/>
    <w:p>
      <w:pPr>
        <w:pStyle w:val="Heading1"/>
      </w:pPr>
      <w:r>
        <w:t xml:space="preserve">4. Modélisation classique</w:t>
      </w:r>
    </w:p>
    <w:bookmarkStart w:id="36" w:name="arima-à-termes-de-fourier-tunis"/>
    <w:p>
      <w:pPr>
        <w:pStyle w:val="Heading2"/>
      </w:pPr>
      <w:r>
        <w:t xml:space="preserve">4.1 ARIMA à termes de Fourier (Tunis)</w:t>
      </w:r>
    </w:p>
    <w:p>
      <w:pPr>
        <w:pStyle w:val="FirstParagraph"/>
      </w:pPr>
      <w:r>
        <w:t xml:space="preserve">L’ACF de la série désaisonnalisée décroît dès le premier retard et la PACF se coupe après lui : la signature d’un AR(1).</w:t>
      </w:r>
      <w:r>
        <w:t xml:space="preserve"> </w:t>
      </w:r>
      <w:r>
        <w:t xml:space="preserve">Une grille d’ordres p et q faibles, avec K harmoniques annuelles, est classée par BIC. Elle retient l’ordre (1, 0, 0)</w:t>
      </w:r>
      <w:r>
        <w:t xml:space="preserve"> </w:t>
      </w:r>
      <w:r>
        <w:t xml:space="preserve">avec K = 2 (BIC = 18 978), et la recherche automatique (</w:t>
      </w:r>
      <w:r>
        <w:rPr>
          <w:rStyle w:val="VerbatimChar"/>
        </w:rPr>
        <w:t xml:space="preserve">pmdarima</w:t>
      </w:r>
      <w:r>
        <w:t xml:space="preserve">,</w:t>
      </w:r>
      <w:r>
        <w:t xml:space="preserve"> </w:t>
      </w:r>
      <w:r>
        <w:rPr>
          <w:rStyle w:val="VerbatimChar"/>
        </w:rPr>
        <w:t xml:space="preserve">auto.arima</w:t>
      </w:r>
      <w:r>
        <w:t xml:space="preserve"> </w:t>
      </w:r>
      <w:r>
        <w:t xml:space="preserve">en R) confirme ce choix.</w:t>
      </w:r>
    </w:p>
    <w:p>
      <w:pPr>
        <w:pStyle w:val="TableCaption"/>
      </w:pPr>
      <w:r>
        <w:t xml:space="preserve">Diagnostic de l’ARIMA à termes de Fourier, Tunis.</w:t>
      </w:r>
    </w:p>
    <w:tbl>
      <w:tblPr>
        <w:tblStyle w:val="Table"/>
        <w:tblW w:type="auto" w:w="0"/>
        <w:tblLook w:firstRow="1" w:lastRow="0" w:firstColumn="0" w:lastColumn="0" w:noHBand="0" w:noVBand="0" w:val="0020"/>
        <w:tblCaption w:val="Diagnostic de l’ARIMA à termes de Fourier, Tunis."/>
      </w:tblPr>
      <w:tblGrid>
        <w:gridCol w:w="2640"/>
        <w:gridCol w:w="2640"/>
        <w:gridCol w:w="2640"/>
      </w:tblGrid>
      <w:tr>
        <w:trPr>
          <w:tblHeader w:val="on"/>
        </w:trPr>
        <w:tc>
          <w:tcPr/>
          <w:p>
            <w:pPr>
              <w:pStyle w:val="Compact"/>
            </w:pPr>
            <w:r>
              <w:t xml:space="preserve">Diagnostic des résidus</w:t>
            </w:r>
          </w:p>
        </w:tc>
        <w:tc>
          <w:tcPr/>
          <w:p>
            <w:pPr>
              <w:pStyle w:val="Compact"/>
            </w:pPr>
            <w:r>
              <w:t xml:space="preserve">Valeur</w:t>
            </w:r>
          </w:p>
        </w:tc>
        <w:tc>
          <w:tcPr/>
          <w:p>
            <w:pPr>
              <w:pStyle w:val="Compact"/>
            </w:pPr>
            <w:r>
              <w:t xml:space="preserve">Lecture</w:t>
            </w:r>
          </w:p>
        </w:tc>
      </w:tr>
      <w:tr>
        <w:tc>
          <w:tcPr/>
          <w:p>
            <w:pPr>
              <w:pStyle w:val="Compact"/>
            </w:pPr>
            <w:r>
              <w:t xml:space="preserve">Ljung-Box à 10 retards (p)</w:t>
            </w:r>
          </w:p>
        </w:tc>
        <w:tc>
          <w:tcPr/>
          <w:p>
            <w:pPr>
              <w:pStyle w:val="Compact"/>
            </w:pPr>
            <w:r>
              <w:t xml:space="preserve">0,092</w:t>
            </w:r>
          </w:p>
        </w:tc>
        <w:tc>
          <w:tcPr/>
          <w:p>
            <w:pPr>
              <w:pStyle w:val="Compact"/>
            </w:pPr>
            <w:r>
              <w:t xml:space="preserve">pas d’autocorrélation restante</w:t>
            </w:r>
          </w:p>
        </w:tc>
      </w:tr>
      <w:tr>
        <w:tc>
          <w:tcPr/>
          <w:p>
            <w:pPr>
              <w:pStyle w:val="Compact"/>
            </w:pPr>
            <w:r>
              <w:t xml:space="preserve">Jarque-Bera (p)</w:t>
            </w:r>
          </w:p>
        </w:tc>
        <w:tc>
          <w:tcPr/>
          <w:p>
            <w:pPr>
              <w:pStyle w:val="Compact"/>
            </w:pPr>
            <w:r>
              <w:t xml:space="preserve">0,000</w:t>
            </w:r>
          </w:p>
        </w:tc>
        <w:tc>
          <w:tcPr/>
          <w:p>
            <w:pPr>
              <w:pStyle w:val="Compact"/>
            </w:pPr>
            <w:r>
              <w:t xml:space="preserve">normalité rejetée</w:t>
            </w:r>
          </w:p>
        </w:tc>
      </w:tr>
      <w:tr>
        <w:tc>
          <w:tcPr/>
          <w:p>
            <w:pPr>
              <w:pStyle w:val="Compact"/>
            </w:pPr>
            <w:r>
              <w:t xml:space="preserve">Skewness, kurtosis</w:t>
            </w:r>
          </w:p>
        </w:tc>
        <w:tc>
          <w:tcPr/>
          <w:p>
            <w:pPr>
              <w:pStyle w:val="Compact"/>
            </w:pPr>
            <w:r>
              <w:t xml:space="preserve">-0,94 ; 3,71</w:t>
            </w:r>
          </w:p>
        </w:tc>
        <w:tc>
          <w:tcPr/>
          <w:p>
            <w:pPr>
              <w:pStyle w:val="Compact"/>
            </w:pPr>
            <w:r>
              <w:t xml:space="preserve">erreurs asymétriques à gauche</w:t>
            </w:r>
          </w:p>
        </w:tc>
      </w:tr>
      <w:tr>
        <w:tc>
          <w:tcPr/>
          <w:p>
            <w:pPr>
              <w:pStyle w:val="Compact"/>
            </w:pPr>
            <w:r>
              <w:t xml:space="preserve">ARCH-LM à 7 retards (p)</w:t>
            </w:r>
          </w:p>
        </w:tc>
        <w:tc>
          <w:tcPr/>
          <w:p>
            <w:pPr>
              <w:pStyle w:val="Compact"/>
            </w:pPr>
            <w:r>
              <w:t xml:space="preserve">0,000</w:t>
            </w:r>
          </w:p>
        </w:tc>
        <w:tc>
          <w:tcPr/>
          <w:p>
            <w:pPr>
              <w:pStyle w:val="Compact"/>
            </w:pPr>
            <w:r>
              <w:t xml:space="preserve">variance non constante</w:t>
            </w:r>
          </w:p>
        </w:tc>
      </w:tr>
    </w:tbl>
    <w:p>
      <w:pPr>
        <w:pStyle w:val="BodyText"/>
      </w:pPr>
      <w:r>
        <w:t xml:space="preserve">La structure d’autocorrélation est captée, mais deux hypothèses sont violées : les résidus ne sont pas gaussiens et leur</w:t>
      </w:r>
      <w:r>
        <w:t xml:space="preserve"> </w:t>
      </w:r>
      <w:r>
        <w:t xml:space="preserve">variance change avec la saison. Les intervalles gaussiens sont donc approximatifs (chapitre 10), et la variance fait l’objet</w:t>
      </w:r>
      <w:r>
        <w:t xml:space="preserve"> </w:t>
      </w:r>
      <w:r>
        <w:t xml:space="preserve">de la section 4.3. Un SARIMA saisonnier (s = 12) est ajusté sur la série mensuelle dans les deux notebooks.</w:t>
      </w:r>
    </w:p>
    <w:bookmarkEnd w:id="36"/>
    <w:bookmarkStart w:id="37" w:name="X5945892a8dabf311a64d0022a33a4eaeb4d5931"/>
    <w:p>
      <w:pPr>
        <w:pStyle w:val="Heading2"/>
      </w:pPr>
      <w:r>
        <w:t xml:space="preserve">4.2 VAR, causalité de Granger et cointégration (Tunis)</w:t>
      </w:r>
    </w:p>
    <w:p>
      <w:pPr>
        <w:pStyle w:val="FirstParagraph"/>
      </w:pPr>
      <w:r>
        <w:t xml:space="preserve">Un VAR en niveaux relie la production, la nébulosité et la température. Le BIC retient p = 3, l’AIC p = 3 ; le BIC,</w:t>
      </w:r>
      <w:r>
        <w:t xml:space="preserve"> </w:t>
      </w:r>
      <w:r>
        <w:t xml:space="preserve">plus parcimonieux, est suivi.</w:t>
      </w:r>
    </w:p>
    <w:p>
      <w:pPr>
        <w:pStyle w:val="TableCaption"/>
      </w:pPr>
      <w:r>
        <w:t xml:space="preserve">Causalité de Granger deux à deux.</w:t>
      </w:r>
    </w:p>
    <w:tbl>
      <w:tblPr>
        <w:tblStyle w:val="Table"/>
        <w:tblW w:type="auto" w:w="0"/>
        <w:tblLook w:firstRow="1" w:lastRow="0" w:firstColumn="0" w:lastColumn="0" w:noHBand="0" w:noVBand="0" w:val="0020"/>
        <w:tblCaption w:val="Causalité de Granger deux à deux."/>
      </w:tblPr>
      <w:tblGrid>
        <w:gridCol w:w="1980"/>
        <w:gridCol w:w="1980"/>
        <w:gridCol w:w="1980"/>
        <w:gridCol w:w="1980"/>
      </w:tblGrid>
      <w:tr>
        <w:trPr>
          <w:tblHeader w:val="on"/>
        </w:trPr>
        <w:tc>
          <w:tcPr/>
          <w:p>
            <w:pPr>
              <w:pStyle w:val="Compact"/>
            </w:pPr>
            <w:r>
              <w:t xml:space="preserve">Cause</w:t>
            </w:r>
          </w:p>
        </w:tc>
        <w:tc>
          <w:tcPr/>
          <w:p>
            <w:pPr>
              <w:pStyle w:val="Compact"/>
            </w:pPr>
            <w:r>
              <w:t xml:space="preserve">Effet</w:t>
            </w:r>
          </w:p>
        </w:tc>
        <w:tc>
          <w:tcPr/>
          <w:p>
            <w:pPr>
              <w:pStyle w:val="Compact"/>
            </w:pPr>
            <w:r>
              <w:t xml:space="preserve">F</w:t>
            </w:r>
          </w:p>
        </w:tc>
        <w:tc>
          <w:tcPr/>
          <w:p>
            <w:pPr>
              <w:pStyle w:val="Compact"/>
            </w:pPr>
            <w:r>
              <w:t xml:space="preserve">p</w:t>
            </w:r>
          </w:p>
        </w:tc>
      </w:tr>
      <w:tr>
        <w:tc>
          <w:tcPr/>
          <w:p>
            <w:pPr>
              <w:pStyle w:val="Compact"/>
            </w:pPr>
            <w:r>
              <w:t xml:space="preserve">pv_kwh_kwc</w:t>
            </w:r>
          </w:p>
        </w:tc>
        <w:tc>
          <w:tcPr/>
          <w:p>
            <w:pPr>
              <w:pStyle w:val="Compact"/>
            </w:pPr>
            <w:r>
              <w:t xml:space="preserve">nebulosite_pct</w:t>
            </w:r>
          </w:p>
        </w:tc>
        <w:tc>
          <w:tcPr/>
          <w:p>
            <w:pPr>
              <w:pStyle w:val="Compact"/>
            </w:pPr>
            <w:r>
              <w:t xml:space="preserve">14,3</w:t>
            </w:r>
          </w:p>
        </w:tc>
        <w:tc>
          <w:tcPr/>
          <w:p>
            <w:pPr>
              <w:pStyle w:val="Compact"/>
            </w:pPr>
            <w:r>
              <w:t xml:space="preserve">0,0000</w:t>
            </w:r>
          </w:p>
        </w:tc>
      </w:tr>
      <w:tr>
        <w:tc>
          <w:tcPr/>
          <w:p>
            <w:pPr>
              <w:pStyle w:val="Compact"/>
            </w:pPr>
            <w:r>
              <w:t xml:space="preserve">pv_kwh_kwc</w:t>
            </w:r>
          </w:p>
        </w:tc>
        <w:tc>
          <w:tcPr/>
          <w:p>
            <w:pPr>
              <w:pStyle w:val="Compact"/>
            </w:pPr>
            <w:r>
              <w:t xml:space="preserve">t2m_moy_c</w:t>
            </w:r>
          </w:p>
        </w:tc>
        <w:tc>
          <w:tcPr/>
          <w:p>
            <w:pPr>
              <w:pStyle w:val="Compact"/>
            </w:pPr>
            <w:r>
              <w:t xml:space="preserve">19,3</w:t>
            </w:r>
          </w:p>
        </w:tc>
        <w:tc>
          <w:tcPr/>
          <w:p>
            <w:pPr>
              <w:pStyle w:val="Compact"/>
            </w:pPr>
            <w:r>
              <w:t xml:space="preserve">0,0000</w:t>
            </w:r>
          </w:p>
        </w:tc>
      </w:tr>
      <w:tr>
        <w:tc>
          <w:tcPr/>
          <w:p>
            <w:pPr>
              <w:pStyle w:val="Compact"/>
            </w:pPr>
            <w:r>
              <w:t xml:space="preserve">nebulosite_pct</w:t>
            </w:r>
          </w:p>
        </w:tc>
        <w:tc>
          <w:tcPr/>
          <w:p>
            <w:pPr>
              <w:pStyle w:val="Compact"/>
            </w:pPr>
            <w:r>
              <w:t xml:space="preserve">pv_kwh_kwc</w:t>
            </w:r>
          </w:p>
        </w:tc>
        <w:tc>
          <w:tcPr/>
          <w:p>
            <w:pPr>
              <w:pStyle w:val="Compact"/>
            </w:pPr>
            <w:r>
              <w:t xml:space="preserve">98,8</w:t>
            </w:r>
          </w:p>
        </w:tc>
        <w:tc>
          <w:tcPr/>
          <w:p>
            <w:pPr>
              <w:pStyle w:val="Compact"/>
            </w:pPr>
            <w:r>
              <w:t xml:space="preserve">0,0000</w:t>
            </w:r>
          </w:p>
        </w:tc>
      </w:tr>
      <w:tr>
        <w:tc>
          <w:tcPr/>
          <w:p>
            <w:pPr>
              <w:pStyle w:val="Compact"/>
            </w:pPr>
            <w:r>
              <w:t xml:space="preserve">nebulosite_pct</w:t>
            </w:r>
          </w:p>
        </w:tc>
        <w:tc>
          <w:tcPr/>
          <w:p>
            <w:pPr>
              <w:pStyle w:val="Compact"/>
            </w:pPr>
            <w:r>
              <w:t xml:space="preserve">t2m_moy_c</w:t>
            </w:r>
          </w:p>
        </w:tc>
        <w:tc>
          <w:tcPr/>
          <w:p>
            <w:pPr>
              <w:pStyle w:val="Compact"/>
            </w:pPr>
            <w:r>
              <w:t xml:space="preserve">6,5</w:t>
            </w:r>
          </w:p>
        </w:tc>
        <w:tc>
          <w:tcPr/>
          <w:p>
            <w:pPr>
              <w:pStyle w:val="Compact"/>
            </w:pPr>
            <w:r>
              <w:t xml:space="preserve">0,0002</w:t>
            </w:r>
          </w:p>
        </w:tc>
      </w:tr>
      <w:tr>
        <w:tc>
          <w:tcPr/>
          <w:p>
            <w:pPr>
              <w:pStyle w:val="Compact"/>
            </w:pPr>
            <w:r>
              <w:t xml:space="preserve">t2m_moy_c</w:t>
            </w:r>
          </w:p>
        </w:tc>
        <w:tc>
          <w:tcPr/>
          <w:p>
            <w:pPr>
              <w:pStyle w:val="Compact"/>
            </w:pPr>
            <w:r>
              <w:t xml:space="preserve">pv_kwh_kwc</w:t>
            </w:r>
          </w:p>
        </w:tc>
        <w:tc>
          <w:tcPr/>
          <w:p>
            <w:pPr>
              <w:pStyle w:val="Compact"/>
            </w:pPr>
            <w:r>
              <w:t xml:space="preserve">2,9</w:t>
            </w:r>
          </w:p>
        </w:tc>
        <w:tc>
          <w:tcPr/>
          <w:p>
            <w:pPr>
              <w:pStyle w:val="Compact"/>
            </w:pPr>
            <w:r>
              <w:t xml:space="preserve">0,0336</w:t>
            </w:r>
          </w:p>
        </w:tc>
      </w:tr>
      <w:tr>
        <w:tc>
          <w:tcPr/>
          <w:p>
            <w:pPr>
              <w:pStyle w:val="Compact"/>
            </w:pPr>
            <w:r>
              <w:t xml:space="preserve">t2m_moy_c</w:t>
            </w:r>
          </w:p>
        </w:tc>
        <w:tc>
          <w:tcPr/>
          <w:p>
            <w:pPr>
              <w:pStyle w:val="Compact"/>
            </w:pPr>
            <w:r>
              <w:t xml:space="preserve">nebulosite_pct</w:t>
            </w:r>
          </w:p>
        </w:tc>
        <w:tc>
          <w:tcPr/>
          <w:p>
            <w:pPr>
              <w:pStyle w:val="Compact"/>
            </w:pPr>
            <w:r>
              <w:t xml:space="preserve">4,4</w:t>
            </w:r>
          </w:p>
        </w:tc>
        <w:tc>
          <w:tcPr/>
          <w:p>
            <w:pPr>
              <w:pStyle w:val="Compact"/>
            </w:pPr>
            <w:r>
              <w:t xml:space="preserve">0,0044</w:t>
            </w:r>
          </w:p>
        </w:tc>
      </w:tr>
    </w:tbl>
    <w:p>
      <w:pPr>
        <w:pStyle w:val="BodyText"/>
      </w:pPr>
      <w:r>
        <w:t xml:space="preserve">Le lien le plus fort va de nebulosite_pct vers pv_kwh_kwc (F = 98,8). La causalité de Granger</w:t>
      </w:r>
      <w:r>
        <w:t xml:space="preserve"> </w:t>
      </w:r>
      <w:r>
        <w:t xml:space="preserve">mesure une prévisibilité, pas une cause physique : les trois séries décrivent le même état de l’atmosphère.</w:t>
      </w:r>
    </w:p>
    <w:p>
      <w:pPr>
        <w:pStyle w:val="BodyText"/>
      </w:pPr>
      <w:r>
        <w:t xml:space="preserve">Le test de Johansen rejette 3 hypothèses de rang sur 3 : le rang est plein, le système est stationnaire</w:t>
      </w:r>
      <w:r>
        <w:t xml:space="preserve"> </w:t>
      </w:r>
      <w:r>
        <w:t xml:space="preserve">en niveaux et la cointégration ne s’applique pas. Un VECM n’est donc pas justifié ici ; il est estimé à titre de vérification,</w:t>
      </w:r>
      <w:r>
        <w:t xml:space="preserve"> </w:t>
      </w:r>
      <w:r>
        <w:t xml:space="preserve">sur les productions nationales française et espagnole, dans les notebooks.</w:t>
      </w:r>
    </w:p>
    <w:bookmarkEnd w:id="37"/>
    <w:bookmarkStart w:id="38" w:name="volatilité-conditionnelle-tunis"/>
    <w:p>
      <w:pPr>
        <w:pStyle w:val="Heading2"/>
      </w:pPr>
      <w:r>
        <w:t xml:space="preserve">4.3 Volatilité conditionnelle (Tunis)</w:t>
      </w:r>
    </w:p>
    <w:p>
      <w:pPr>
        <w:pStyle w:val="FirstParagraph"/>
      </w:pPr>
      <w:r>
        <w:t xml:space="preserve">Le test ARCH-LM sur les erreurs de l’ARIMA rejette l’homoscédasticité (p = 0,000).</w:t>
      </w:r>
      <w:r>
        <w:t xml:space="preserve"> </w:t>
      </w:r>
      <w:r>
        <w:t xml:space="preserve">8 spécifications sont comparées ; le BIC retient « Variance saisonnière + GARCH(1,1) Student asym. ». Mais la volatilité estimée suit le calendrier : elle</w:t>
      </w:r>
      <w:r>
        <w:t xml:space="preserve"> </w:t>
      </w:r>
      <w:r>
        <w:t xml:space="preserve">est forte en hiver et faible en été. Un GARCH seul prend cette saisonnalité pour une persistance des chocs. La variante</w:t>
      </w:r>
      <w:r>
        <w:t xml:space="preserve"> </w:t>
      </w:r>
      <w:r>
        <w:t xml:space="preserve">« standardisés Variance saisonnière + GARCH(1,1) Student asym. » retire d’abord la variance saisonnière : ses résidus standardisés ne montrent plus d’effet ARCH</w:t>
      </w:r>
      <w:r>
        <w:t xml:space="preserve"> </w:t>
      </w:r>
      <w:r>
        <w:t xml:space="preserve">(p = 0,385).</w:t>
      </w:r>
    </w:p>
    <w:bookmarkEnd w:id="38"/>
    <w:bookmarkStart w:id="39" w:name="le-même-modèle-dans-toutes-les-villes"/>
    <w:p>
      <w:pPr>
        <w:pStyle w:val="Heading2"/>
      </w:pPr>
      <w:r>
        <w:t xml:space="preserve">4.4 Le même modèle dans toutes les villes</w:t>
      </w:r>
    </w:p>
    <w:p>
      <w:pPr>
        <w:pStyle w:val="FirstParagraph"/>
      </w:pPr>
      <w:r>
        <w:t xml:space="preserve">Le modèle identifié sur Tunis, une régression harmonique à erreurs AR(1), est estimé dans chaque ville et réestimé tous les</w:t>
      </w:r>
      <w:r>
        <w:t xml:space="preserve"> </w:t>
      </w:r>
      <w:r>
        <w:t xml:space="preserve">30 jours. Le coefficient AR(1) vaut en médiane 0,30, de</w:t>
      </w:r>
      <w:r>
        <w:t xml:space="preserve"> </w:t>
      </w:r>
      <w:r>
        <w:t xml:space="preserve">0,21 à Gafsa à 0,43 à Grenade. Partout, la mémoire de la série</w:t>
      </w:r>
      <w:r>
        <w:t xml:space="preserve"> </w:t>
      </w:r>
      <w:r>
        <w:t xml:space="preserve">est courte : l’écart à la saison observé un jour est divisé par 3,3 dès le lendemain.</w:t>
      </w:r>
    </w:p>
    <w:p>
      <w:pPr>
        <w:pStyle w:val="BodyText"/>
      </w:pPr>
      <w:r>
        <w:rPr>
          <w:b/>
          <w:bCs/>
        </w:rPr>
        <w:t xml:space="preserve">R et Python.</w:t>
      </w:r>
      <w:r>
        <w:t xml:space="preserve"> </w:t>
      </w:r>
      <w:r>
        <w:t xml:space="preserve">Le socle classique est codé dans les deux langages. Le dossier R est autonome : copié seul hors du projet, il</w:t>
      </w:r>
      <w:r>
        <w:t xml:space="preserve"> </w:t>
      </w:r>
      <w:r>
        <w:t xml:space="preserve">s’exécute de bout en bout et reproduit à l’identique les tableaux de l’étude d’origine.</w:t>
      </w:r>
    </w:p>
    <w:p>
      <w:r>
        <w:br w:type="page"/>
      </w:r>
    </w:p>
    <w:bookmarkEnd w:id="39"/>
    <w:bookmarkEnd w:id="40"/>
    <w:bookmarkStart w:id="46" w:name="modélisation-avancée"/>
    <w:p>
      <w:pPr>
        <w:pStyle w:val="Heading1"/>
      </w:pPr>
      <w:r>
        <w:t xml:space="preserve">5. Modélisation avancée</w:t>
      </w:r>
    </w:p>
    <w:bookmarkStart w:id="44" w:name="réseaux-récurrents"/>
    <w:p>
      <w:pPr>
        <w:pStyle w:val="Heading2"/>
      </w:pPr>
      <w:r>
        <w:t xml:space="preserve">5.1 Réseaux récurrents</w:t>
      </w:r>
    </w:p>
    <w:p>
      <w:pPr>
        <w:pStyle w:val="FirstParagraph"/>
      </w:pPr>
      <w:r>
        <w:rPr>
          <w:b/>
          <w:bCs/>
        </w:rPr>
        <w:t xml:space="preserve">Mise en forme.</w:t>
      </w:r>
      <w:r>
        <w:t xml:space="preserve"> </w:t>
      </w:r>
      <w:r>
        <w:t xml:space="preserve">Chaque réseau reçoit les 14 derniers jours (écart de la production à sa normale,</w:t>
      </w:r>
      <w:r>
        <w:t xml:space="preserve"> </w:t>
      </w:r>
      <w:r>
        <w:t xml:space="preserve">nébulosité, température, humidité, pluie, aérosols, position dans l’année) et prévoit d’un coup les sept jours suivants. La</w:t>
      </w:r>
      <w:r>
        <w:t xml:space="preserve"> </w:t>
      </w:r>
      <w:r>
        <w:t xml:space="preserve">cible est l’écart à la normale saisonnière, divisé par son écart-type : le réseau part de la climatologie et n’apprend que la</w:t>
      </w:r>
      <w:r>
        <w:t xml:space="preserve"> </w:t>
      </w:r>
      <w:r>
        <w:t xml:space="preserve">correction. La normalisation n’utilise que l’apprentissage. La dernière année de l’apprentissage sert à l’arrêt anticipé.</w:t>
      </w:r>
    </w:p>
    <w:p>
      <w:pPr>
        <w:pStyle w:val="BodyText"/>
      </w:pPr>
      <w:r>
        <w:rPr>
          <w:b/>
          <w:bCs/>
        </w:rPr>
        <w:t xml:space="preserve">Validation glissante.</w:t>
      </w:r>
      <w:r>
        <w:t xml:space="preserve"> </w:t>
      </w:r>
      <w:r>
        <w:t xml:space="preserve">Les hyperparamètres sont choisis sur l’apprentissage seul, par 3 plis à</w:t>
      </w:r>
      <w:r>
        <w:t xml:space="preserve"> </w:t>
      </w:r>
      <w:r>
        <w:t xml:space="preserve">fenêtre croissante : on entraîne sur le début, on mesure sur l’année suivante, puis on avance. Jamais de validation croisée</w:t>
      </w:r>
      <w:r>
        <w:t xml:space="preserve"> </w:t>
      </w:r>
      <w:r>
        <w:t xml:space="preserve">aléatoire, qui mélangerait le futur et le passé.</w:t>
      </w:r>
    </w:p>
    <w:p>
      <w:pPr>
        <w:pStyle w:val="TableCaption"/>
      </w:pPr>
      <w:r>
        <w:t xml:space="preserve">Validation glissante du LSTM à Tunis (kWh/kWc).</w:t>
      </w:r>
    </w:p>
    <w:tbl>
      <w:tblPr>
        <w:tblStyle w:val="Table"/>
        <w:tblW w:type="pct" w:w="5000"/>
        <w:tblLayout w:type="fixed"/>
        <w:tblLook w:firstRow="1" w:lastRow="0" w:firstColumn="0" w:lastColumn="0" w:noHBand="0" w:noVBand="0" w:val="0020"/>
        <w:tblCaption w:val="Validation glissante du LSTM à Tunis (kWh/kWc)."/>
      </w:tblPr>
      <w:tblGrid>
        <w:gridCol w:w="1584"/>
        <w:gridCol w:w="1584"/>
        <w:gridCol w:w="1584"/>
        <w:gridCol w:w="1584"/>
        <w:gridCol w:w="1584"/>
      </w:tblGrid>
      <w:tr>
        <w:trPr>
          <w:tblHeader w:val="on"/>
        </w:trPr>
        <w:tc>
          <w:tcPr/>
          <w:p>
            <w:pPr>
              <w:pStyle w:val="Compact"/>
            </w:pPr>
            <w:r>
              <w:t xml:space="preserve">Fenêtre (jours)</w:t>
            </w:r>
          </w:p>
        </w:tc>
        <w:tc>
          <w:tcPr/>
          <w:p>
            <w:pPr>
              <w:pStyle w:val="Compact"/>
            </w:pPr>
            <w:r>
              <w:t xml:space="preserve">Unités</w:t>
            </w:r>
          </w:p>
        </w:tc>
        <w:tc>
          <w:tcPr/>
          <w:p>
            <w:pPr>
              <w:pStyle w:val="Compact"/>
            </w:pPr>
            <w:r>
              <w:t xml:space="preserve">Dropout</w:t>
            </w:r>
          </w:p>
        </w:tc>
        <w:tc>
          <w:tcPr/>
          <w:p>
            <w:pPr>
              <w:pStyle w:val="Compact"/>
            </w:pPr>
            <w:r>
              <w:t xml:space="preserve">RMSE moyen</w:t>
            </w:r>
          </w:p>
        </w:tc>
        <w:tc>
          <w:tcPr/>
          <w:p>
            <w:pPr>
              <w:pStyle w:val="Compact"/>
            </w:pPr>
            <w:r>
              <w:t xml:space="preserve">Écart-type entre plis</w:t>
            </w:r>
          </w:p>
        </w:tc>
      </w:tr>
      <w:tr>
        <w:tc>
          <w:tcPr/>
          <w:p>
            <w:pPr>
              <w:pStyle w:val="Compact"/>
            </w:pPr>
            <w:r>
              <w:t xml:space="preserve">7</w:t>
            </w:r>
          </w:p>
        </w:tc>
        <w:tc>
          <w:tcPr/>
          <w:p>
            <w:pPr>
              <w:pStyle w:val="Compact"/>
            </w:pPr>
            <w:r>
              <w:t xml:space="preserve">64</w:t>
            </w:r>
          </w:p>
        </w:tc>
        <w:tc>
          <w:tcPr/>
          <w:p>
            <w:pPr>
              <w:pStyle w:val="Compact"/>
            </w:pPr>
            <w:r>
              <w:t xml:space="preserve">0,1</w:t>
            </w:r>
          </w:p>
        </w:tc>
        <w:tc>
          <w:tcPr/>
          <w:p>
            <w:pPr>
              <w:pStyle w:val="Compact"/>
            </w:pPr>
            <w:r>
              <w:t xml:space="preserve">1,1000</w:t>
            </w:r>
          </w:p>
        </w:tc>
        <w:tc>
          <w:tcPr/>
          <w:p>
            <w:pPr>
              <w:pStyle w:val="Compact"/>
            </w:pPr>
            <w:r>
              <w:t xml:space="preserve">0,0794</w:t>
            </w:r>
          </w:p>
        </w:tc>
      </w:tr>
      <w:tr>
        <w:tc>
          <w:tcPr/>
          <w:p>
            <w:pPr>
              <w:pStyle w:val="Compact"/>
            </w:pPr>
            <w:r>
              <w:t xml:space="preserve">14</w:t>
            </w:r>
          </w:p>
        </w:tc>
        <w:tc>
          <w:tcPr/>
          <w:p>
            <w:pPr>
              <w:pStyle w:val="Compact"/>
            </w:pPr>
            <w:r>
              <w:t xml:space="preserve">32</w:t>
            </w:r>
          </w:p>
        </w:tc>
        <w:tc>
          <w:tcPr/>
          <w:p>
            <w:pPr>
              <w:pStyle w:val="Compact"/>
            </w:pPr>
            <w:r>
              <w:t xml:space="preserve">0,1</w:t>
            </w:r>
          </w:p>
        </w:tc>
        <w:tc>
          <w:tcPr/>
          <w:p>
            <w:pPr>
              <w:pStyle w:val="Compact"/>
            </w:pPr>
            <w:r>
              <w:t xml:space="preserve">1,1009</w:t>
            </w:r>
          </w:p>
        </w:tc>
        <w:tc>
          <w:tcPr/>
          <w:p>
            <w:pPr>
              <w:pStyle w:val="Compact"/>
            </w:pPr>
            <w:r>
              <w:t xml:space="preserve">0,0833</w:t>
            </w:r>
          </w:p>
        </w:tc>
      </w:tr>
      <w:tr>
        <w:tc>
          <w:tcPr/>
          <w:p>
            <w:pPr>
              <w:pStyle w:val="Compact"/>
            </w:pPr>
            <w:r>
              <w:t xml:space="preserve">14</w:t>
            </w:r>
          </w:p>
        </w:tc>
        <w:tc>
          <w:tcPr/>
          <w:p>
            <w:pPr>
              <w:pStyle w:val="Compact"/>
            </w:pPr>
            <w:r>
              <w:t xml:space="preserve">64</w:t>
            </w:r>
          </w:p>
        </w:tc>
        <w:tc>
          <w:tcPr/>
          <w:p>
            <w:pPr>
              <w:pStyle w:val="Compact"/>
            </w:pPr>
            <w:r>
              <w:t xml:space="preserve">0,0</w:t>
            </w:r>
          </w:p>
        </w:tc>
        <w:tc>
          <w:tcPr/>
          <w:p>
            <w:pPr>
              <w:pStyle w:val="Compact"/>
            </w:pPr>
            <w:r>
              <w:t xml:space="preserve">1,0998</w:t>
            </w:r>
          </w:p>
        </w:tc>
        <w:tc>
          <w:tcPr/>
          <w:p>
            <w:pPr>
              <w:pStyle w:val="Compact"/>
            </w:pPr>
            <w:r>
              <w:t xml:space="preserve">0,0815</w:t>
            </w:r>
          </w:p>
        </w:tc>
      </w:tr>
      <w:tr>
        <w:tc>
          <w:tcPr/>
          <w:p>
            <w:pPr>
              <w:pStyle w:val="Compact"/>
            </w:pPr>
            <w:r>
              <w:t xml:space="preserve">14</w:t>
            </w:r>
          </w:p>
        </w:tc>
        <w:tc>
          <w:tcPr/>
          <w:p>
            <w:pPr>
              <w:pStyle w:val="Compact"/>
            </w:pPr>
            <w:r>
              <w:t xml:space="preserve">64</w:t>
            </w:r>
          </w:p>
        </w:tc>
        <w:tc>
          <w:tcPr/>
          <w:p>
            <w:pPr>
              <w:pStyle w:val="Compact"/>
            </w:pPr>
            <w:r>
              <w:t xml:space="preserve">0,1</w:t>
            </w:r>
          </w:p>
        </w:tc>
        <w:tc>
          <w:tcPr/>
          <w:p>
            <w:pPr>
              <w:pStyle w:val="Compact"/>
            </w:pPr>
            <w:r>
              <w:t xml:space="preserve">1,0991</w:t>
            </w:r>
          </w:p>
        </w:tc>
        <w:tc>
          <w:tcPr/>
          <w:p>
            <w:pPr>
              <w:pStyle w:val="Compact"/>
            </w:pPr>
            <w:r>
              <w:t xml:space="preserve">0,0805</w:t>
            </w:r>
          </w:p>
        </w:tc>
      </w:tr>
      <w:tr>
        <w:tc>
          <w:tcPr/>
          <w:p>
            <w:pPr>
              <w:pStyle w:val="Compact"/>
            </w:pPr>
            <w:r>
              <w:t xml:space="preserve">14</w:t>
            </w:r>
          </w:p>
        </w:tc>
        <w:tc>
          <w:tcPr/>
          <w:p>
            <w:pPr>
              <w:pStyle w:val="Compact"/>
            </w:pPr>
            <w:r>
              <w:t xml:space="preserve">64</w:t>
            </w:r>
          </w:p>
        </w:tc>
        <w:tc>
          <w:tcPr/>
          <w:p>
            <w:pPr>
              <w:pStyle w:val="Compact"/>
            </w:pPr>
            <w:r>
              <w:t xml:space="preserve">0,3</w:t>
            </w:r>
          </w:p>
        </w:tc>
        <w:tc>
          <w:tcPr/>
          <w:p>
            <w:pPr>
              <w:pStyle w:val="Compact"/>
            </w:pPr>
            <w:r>
              <w:t xml:space="preserve">1,0995</w:t>
            </w:r>
          </w:p>
        </w:tc>
        <w:tc>
          <w:tcPr/>
          <w:p>
            <w:pPr>
              <w:pStyle w:val="Compact"/>
            </w:pPr>
            <w:r>
              <w:t xml:space="preserve">0,0807</w:t>
            </w:r>
          </w:p>
        </w:tc>
      </w:tr>
      <w:tr>
        <w:tc>
          <w:tcPr/>
          <w:p>
            <w:pPr>
              <w:pStyle w:val="Compact"/>
            </w:pPr>
            <w:r>
              <w:t xml:space="preserve">28</w:t>
            </w:r>
          </w:p>
        </w:tc>
        <w:tc>
          <w:tcPr/>
          <w:p>
            <w:pPr>
              <w:pStyle w:val="Compact"/>
            </w:pPr>
            <w:r>
              <w:t xml:space="preserve">64</w:t>
            </w:r>
          </w:p>
        </w:tc>
        <w:tc>
          <w:tcPr/>
          <w:p>
            <w:pPr>
              <w:pStyle w:val="Compact"/>
            </w:pPr>
            <w:r>
              <w:t xml:space="preserve">0,1</w:t>
            </w:r>
          </w:p>
        </w:tc>
        <w:tc>
          <w:tcPr/>
          <w:p>
            <w:pPr>
              <w:pStyle w:val="Compact"/>
            </w:pPr>
            <w:r>
              <w:t xml:space="preserve">1,1019</w:t>
            </w:r>
          </w:p>
        </w:tc>
        <w:tc>
          <w:tcPr/>
          <w:p>
            <w:pPr>
              <w:pStyle w:val="Compact"/>
            </w:pPr>
            <w:r>
              <w:t xml:space="preserve">0,0829</w:t>
            </w:r>
          </w:p>
        </w:tc>
      </w:tr>
    </w:tbl>
    <w:p>
      <w:pPr>
        <w:pStyle w:val="BodyText"/>
      </w:pPr>
      <w:r>
        <w:t xml:space="preserve">Les configurations se tiennent à 0,0029 kWh/kWc les unes des autres, pour un écart-type entre plis de</w:t>
      </w:r>
      <w:r>
        <w:t xml:space="preserve"> </w:t>
      </w:r>
      <w:r>
        <w:t xml:space="preserve">0,0814 : les données ne permettent pas de les départager. On retient donc la configuration la plus simple qui ne</w:t>
      </w:r>
      <w:r>
        <w:t xml:space="preserve"> </w:t>
      </w:r>
      <w:r>
        <w:t xml:space="preserve">perd rien, une fenêtre de 14 jours, 64 unités et un dropout de 0,1.</w:t>
      </w:r>
      <w:r>
        <w:t xml:space="preserve"> </w:t>
      </w:r>
      <w:r>
        <w:t xml:space="preserve">Sur les mêmes plis, la climatologie obtient 1,1111.</w:t>
      </w:r>
    </w:p>
    <w:p>
      <w:pPr>
        <w:pStyle w:val="CaptionedFigure"/>
      </w:pPr>
      <w:r>
        <w:drawing>
          <wp:inline>
            <wp:extent cx="4679999" cy="2187391"/>
            <wp:effectExtent b="0" l="0" r="0" t="0"/>
            <wp:docPr descr="Courbes de perte du LSTM à Tunis." title="" id="42" name="Picture"/>
            <a:graphic>
              <a:graphicData uri="http://schemas.openxmlformats.org/drawingml/2006/picture">
                <pic:pic>
                  <pic:nvPicPr>
                    <pic:cNvPr descr="../figures/06_courbes_perte.png" id="43" name="Picture"/>
                    <pic:cNvPicPr>
                      <a:picLocks noChangeArrowheads="1" noChangeAspect="1"/>
                    </pic:cNvPicPr>
                  </pic:nvPicPr>
                  <pic:blipFill>
                    <a:blip r:embed="rId41"/>
                    <a:stretch>
                      <a:fillRect/>
                    </a:stretch>
                  </pic:blipFill>
                  <pic:spPr bwMode="auto">
                    <a:xfrm>
                      <a:off x="0" y="0"/>
                      <a:ext cx="4679999" cy="2187391"/>
                    </a:xfrm>
                    <a:prstGeom prst="rect">
                      <a:avLst/>
                    </a:prstGeom>
                    <a:noFill/>
                    <a:ln w="9525">
                      <a:noFill/>
                      <a:headEnd/>
                      <a:tailEnd/>
                    </a:ln>
                  </pic:spPr>
                </pic:pic>
              </a:graphicData>
            </a:graphic>
          </wp:inline>
        </w:drawing>
      </w:r>
    </w:p>
    <w:p>
      <w:pPr>
        <w:pStyle w:val="ImageCaption"/>
      </w:pPr>
      <w:r>
        <w:t xml:space="preserve">Courbes de perte du LSTM à Tunis.</w:t>
      </w:r>
    </w:p>
    <w:p>
      <w:pPr>
        <w:pStyle w:val="BodyText"/>
      </w:pPr>
      <w:r>
        <w:t xml:space="preserve">Ex ante, la perte de validation cesse de baisser dès l’époque 9 : le réseau apprend peu au-delà</w:t>
      </w:r>
      <w:r>
        <w:t xml:space="preserve"> </w:t>
      </w:r>
      <w:r>
        <w:t xml:space="preserve">de la normale. Ex post, elle descend jusqu’à l’époque 30 et finit à</w:t>
      </w:r>
      <w:r>
        <w:t xml:space="preserve"> </w:t>
      </w:r>
      <w:r>
        <w:t xml:space="preserve">0,34 contre 0,98 : la météo des jours visés contient l’information</w:t>
      </w:r>
      <w:r>
        <w:t xml:space="preserve"> </w:t>
      </w:r>
      <w:r>
        <w:t xml:space="preserve">qui manquait.</w:t>
      </w:r>
    </w:p>
    <w:bookmarkEnd w:id="44"/>
    <w:bookmarkStart w:id="45" w:name="résultats"/>
    <w:p>
      <w:pPr>
        <w:pStyle w:val="Heading2"/>
      </w:pPr>
      <w:r>
        <w:t xml:space="preserve">5.2 Résultats</w:t>
      </w:r>
    </w:p>
    <w:p>
      <w:pPr>
        <w:pStyle w:val="TableCaption"/>
      </w:pPr>
      <w:r>
        <w:t xml:space="preserve">Modèles avancés, moyenne des villes ; climatologie : 1,1934 kWh/kWc.</w:t>
      </w:r>
    </w:p>
    <w:tbl>
      <w:tblPr>
        <w:tblStyle w:val="Table"/>
        <w:tblW w:type="pct" w:w="5000"/>
        <w:tblLayout w:type="fixed"/>
        <w:tblLook w:firstRow="1" w:lastRow="0" w:firstColumn="0" w:lastColumn="0" w:noHBand="0" w:noVBand="0" w:val="0020"/>
        <w:tblCaption w:val="Modèles avancés, moyenne des villes ; climatologie : 1,1934 kWh/kWc."/>
      </w:tblPr>
      <w:tblGrid>
        <w:gridCol w:w="1584"/>
        <w:gridCol w:w="1584"/>
        <w:gridCol w:w="1584"/>
        <w:gridCol w:w="1584"/>
        <w:gridCol w:w="1584"/>
      </w:tblGrid>
      <w:tr>
        <w:trPr>
          <w:tblHeader w:val="on"/>
        </w:trPr>
        <w:tc>
          <w:tcPr/>
          <w:p>
            <w:pPr>
              <w:pStyle w:val="Compact"/>
            </w:pPr>
            <w:r>
              <w:t xml:space="preserve">Modèle</w:t>
            </w:r>
          </w:p>
        </w:tc>
        <w:tc>
          <w:tcPr/>
          <w:p>
            <w:pPr>
              <w:pStyle w:val="Compact"/>
            </w:pPr>
            <w:r>
              <w:t xml:space="preserve">Scénario</w:t>
            </w:r>
          </w:p>
        </w:tc>
        <w:tc>
          <w:tcPr/>
          <w:p>
            <w:pPr>
              <w:pStyle w:val="Compact"/>
            </w:pPr>
            <w:r>
              <w:t xml:space="preserve">RMSE moyen</w:t>
            </w:r>
          </w:p>
        </w:tc>
        <w:tc>
          <w:tcPr/>
          <w:p>
            <w:pPr>
              <w:pStyle w:val="Compact"/>
            </w:pPr>
            <w:r>
              <w:t xml:space="preserve">Écart à la climatologie</w:t>
            </w:r>
          </w:p>
        </w:tc>
        <w:tc>
          <w:tcPr/>
          <w:p>
            <w:pPr>
              <w:pStyle w:val="Compact"/>
            </w:pPr>
            <w:r>
              <w:t xml:space="preserve">Villes où il fait mieux</w:t>
            </w:r>
          </w:p>
        </w:tc>
      </w:tr>
      <w:tr>
        <w:tc>
          <w:tcPr/>
          <w:p>
            <w:pPr>
              <w:pStyle w:val="Compact"/>
            </w:pPr>
            <w:r>
              <w:t xml:space="preserve">LSTM</w:t>
            </w:r>
          </w:p>
        </w:tc>
        <w:tc>
          <w:tcPr/>
          <w:p>
            <w:pPr>
              <w:pStyle w:val="Compact"/>
            </w:pPr>
            <w:r>
              <w:t xml:space="preserve">ex ante</w:t>
            </w:r>
          </w:p>
        </w:tc>
        <w:tc>
          <w:tcPr/>
          <w:p>
            <w:pPr>
              <w:pStyle w:val="Compact"/>
            </w:pPr>
            <w:r>
              <w:t xml:space="preserve">1,1696</w:t>
            </w:r>
          </w:p>
        </w:tc>
        <w:tc>
          <w:tcPr/>
          <w:p>
            <w:pPr>
              <w:pStyle w:val="Compact"/>
            </w:pPr>
            <w:r>
              <w:t xml:space="preserve">-2,0 %</w:t>
            </w:r>
          </w:p>
        </w:tc>
        <w:tc>
          <w:tcPr/>
          <w:p>
            <w:pPr>
              <w:pStyle w:val="Compact"/>
            </w:pPr>
            <w:r>
              <w:t xml:space="preserve">29 / 30</w:t>
            </w:r>
          </w:p>
        </w:tc>
      </w:tr>
      <w:tr>
        <w:tc>
          <w:tcPr/>
          <w:p>
            <w:pPr>
              <w:pStyle w:val="Compact"/>
            </w:pPr>
            <w:r>
              <w:t xml:space="preserve">GRU</w:t>
            </w:r>
          </w:p>
        </w:tc>
        <w:tc>
          <w:tcPr/>
          <w:p>
            <w:pPr>
              <w:pStyle w:val="Compact"/>
            </w:pPr>
            <w:r>
              <w:t xml:space="preserve">ex ante</w:t>
            </w:r>
          </w:p>
        </w:tc>
        <w:tc>
          <w:tcPr/>
          <w:p>
            <w:pPr>
              <w:pStyle w:val="Compact"/>
            </w:pPr>
            <w:r>
              <w:t xml:space="preserve">1,1695</w:t>
            </w:r>
          </w:p>
        </w:tc>
        <w:tc>
          <w:tcPr/>
          <w:p>
            <w:pPr>
              <w:pStyle w:val="Compact"/>
            </w:pPr>
            <w:r>
              <w:t xml:space="preserve">-2,0 %</w:t>
            </w:r>
          </w:p>
        </w:tc>
        <w:tc>
          <w:tcPr/>
          <w:p>
            <w:pPr>
              <w:pStyle w:val="Compact"/>
            </w:pPr>
            <w:r>
              <w:t xml:space="preserve">29 / 30</w:t>
            </w:r>
          </w:p>
        </w:tc>
      </w:tr>
      <w:tr>
        <w:tc>
          <w:tcPr/>
          <w:p>
            <w:pPr>
              <w:pStyle w:val="Compact"/>
            </w:pPr>
            <w:r>
              <w:t xml:space="preserve">LSTM global</w:t>
            </w:r>
          </w:p>
        </w:tc>
        <w:tc>
          <w:tcPr/>
          <w:p>
            <w:pPr>
              <w:pStyle w:val="Compact"/>
            </w:pPr>
            <w:r>
              <w:t xml:space="preserve">ex ante</w:t>
            </w:r>
          </w:p>
        </w:tc>
        <w:tc>
          <w:tcPr/>
          <w:p>
            <w:pPr>
              <w:pStyle w:val="Compact"/>
            </w:pPr>
            <w:r>
              <w:t xml:space="preserve">1,1674</w:t>
            </w:r>
          </w:p>
        </w:tc>
        <w:tc>
          <w:tcPr/>
          <w:p>
            <w:pPr>
              <w:pStyle w:val="Compact"/>
            </w:pPr>
            <w:r>
              <w:t xml:space="preserve">-2,2 %</w:t>
            </w:r>
          </w:p>
        </w:tc>
        <w:tc>
          <w:tcPr/>
          <w:p>
            <w:pPr>
              <w:pStyle w:val="Compact"/>
            </w:pPr>
            <w:r>
              <w:t xml:space="preserve">30 / 30</w:t>
            </w:r>
          </w:p>
        </w:tc>
      </w:tr>
      <w:tr>
        <w:tc>
          <w:tcPr/>
          <w:p>
            <w:pPr>
              <w:pStyle w:val="Compact"/>
            </w:pPr>
            <w:r>
              <w:t xml:space="preserve">XGBoost</w:t>
            </w:r>
          </w:p>
        </w:tc>
        <w:tc>
          <w:tcPr/>
          <w:p>
            <w:pPr>
              <w:pStyle w:val="Compact"/>
            </w:pPr>
            <w:r>
              <w:t xml:space="preserve">ex ante</w:t>
            </w:r>
          </w:p>
        </w:tc>
        <w:tc>
          <w:tcPr/>
          <w:p>
            <w:pPr>
              <w:pStyle w:val="Compact"/>
            </w:pPr>
            <w:r>
              <w:t xml:space="preserve">1,1753</w:t>
            </w:r>
          </w:p>
        </w:tc>
        <w:tc>
          <w:tcPr/>
          <w:p>
            <w:pPr>
              <w:pStyle w:val="Compact"/>
            </w:pPr>
            <w:r>
              <w:t xml:space="preserve">-1,5 %</w:t>
            </w:r>
          </w:p>
        </w:tc>
        <w:tc>
          <w:tcPr/>
          <w:p>
            <w:pPr>
              <w:pStyle w:val="Compact"/>
            </w:pPr>
            <w:r>
              <w:t xml:space="preserve">30 / 30</w:t>
            </w:r>
          </w:p>
        </w:tc>
      </w:tr>
      <w:tr>
        <w:tc>
          <w:tcPr/>
          <w:p>
            <w:pPr>
              <w:pStyle w:val="Compact"/>
            </w:pPr>
            <w:r>
              <w:t xml:space="preserve">Prophet</w:t>
            </w:r>
          </w:p>
        </w:tc>
        <w:tc>
          <w:tcPr/>
          <w:p>
            <w:pPr>
              <w:pStyle w:val="Compact"/>
            </w:pPr>
            <w:r>
              <w:t xml:space="preserve">ex ante</w:t>
            </w:r>
          </w:p>
        </w:tc>
        <w:tc>
          <w:tcPr/>
          <w:p>
            <w:pPr>
              <w:pStyle w:val="Compact"/>
            </w:pPr>
            <w:r>
              <w:t xml:space="preserve">1,1952</w:t>
            </w:r>
          </w:p>
        </w:tc>
        <w:tc>
          <w:tcPr/>
          <w:p>
            <w:pPr>
              <w:pStyle w:val="Compact"/>
            </w:pPr>
            <w:r>
              <w:t xml:space="preserve">0,2 %</w:t>
            </w:r>
          </w:p>
        </w:tc>
        <w:tc>
          <w:tcPr/>
          <w:p>
            <w:pPr>
              <w:pStyle w:val="Compact"/>
            </w:pPr>
            <w:r>
              <w:t xml:space="preserve">12 / 30</w:t>
            </w:r>
          </w:p>
        </w:tc>
      </w:tr>
      <w:tr>
        <w:tc>
          <w:tcPr/>
          <w:p>
            <w:pPr>
              <w:pStyle w:val="Compact"/>
            </w:pPr>
            <w:r>
              <w:t xml:space="preserve">LSTM + météo</w:t>
            </w:r>
          </w:p>
        </w:tc>
        <w:tc>
          <w:tcPr/>
          <w:p>
            <w:pPr>
              <w:pStyle w:val="Compact"/>
            </w:pPr>
            <w:r>
              <w:t xml:space="preserve">ex post</w:t>
            </w:r>
          </w:p>
        </w:tc>
        <w:tc>
          <w:tcPr/>
          <w:p>
            <w:pPr>
              <w:pStyle w:val="Compact"/>
            </w:pPr>
            <w:r>
              <w:t xml:space="preserve">0,7127</w:t>
            </w:r>
          </w:p>
        </w:tc>
        <w:tc>
          <w:tcPr/>
          <w:p>
            <w:pPr>
              <w:pStyle w:val="Compact"/>
            </w:pPr>
            <w:r>
              <w:t xml:space="preserve">-40,3 %</w:t>
            </w:r>
          </w:p>
        </w:tc>
        <w:tc>
          <w:tcPr/>
          <w:p>
            <w:pPr>
              <w:pStyle w:val="Compact"/>
            </w:pPr>
            <w:r>
              <w:t xml:space="preserve">30 / 30</w:t>
            </w:r>
          </w:p>
        </w:tc>
      </w:tr>
      <w:tr>
        <w:tc>
          <w:tcPr/>
          <w:p>
            <w:pPr>
              <w:pStyle w:val="Compact"/>
            </w:pPr>
            <w:r>
              <w:t xml:space="preserve">GRU + météo</w:t>
            </w:r>
          </w:p>
        </w:tc>
        <w:tc>
          <w:tcPr/>
          <w:p>
            <w:pPr>
              <w:pStyle w:val="Compact"/>
            </w:pPr>
            <w:r>
              <w:t xml:space="preserve">ex post</w:t>
            </w:r>
          </w:p>
        </w:tc>
        <w:tc>
          <w:tcPr/>
          <w:p>
            <w:pPr>
              <w:pStyle w:val="Compact"/>
            </w:pPr>
            <w:r>
              <w:t xml:space="preserve">0,7062</w:t>
            </w:r>
          </w:p>
        </w:tc>
        <w:tc>
          <w:tcPr/>
          <w:p>
            <w:pPr>
              <w:pStyle w:val="Compact"/>
            </w:pPr>
            <w:r>
              <w:t xml:space="preserve">-40,8 %</w:t>
            </w:r>
          </w:p>
        </w:tc>
        <w:tc>
          <w:tcPr/>
          <w:p>
            <w:pPr>
              <w:pStyle w:val="Compact"/>
            </w:pPr>
            <w:r>
              <w:t xml:space="preserve">30 / 30</w:t>
            </w:r>
          </w:p>
        </w:tc>
      </w:tr>
      <w:tr>
        <w:tc>
          <w:tcPr/>
          <w:p>
            <w:pPr>
              <w:pStyle w:val="Compact"/>
            </w:pPr>
            <w:r>
              <w:t xml:space="preserve">XGBoost + météo</w:t>
            </w:r>
          </w:p>
        </w:tc>
        <w:tc>
          <w:tcPr/>
          <w:p>
            <w:pPr>
              <w:pStyle w:val="Compact"/>
            </w:pPr>
            <w:r>
              <w:t xml:space="preserve">ex post</w:t>
            </w:r>
          </w:p>
        </w:tc>
        <w:tc>
          <w:tcPr/>
          <w:p>
            <w:pPr>
              <w:pStyle w:val="Compact"/>
            </w:pPr>
            <w:r>
              <w:t xml:space="preserve">0,6274</w:t>
            </w:r>
          </w:p>
        </w:tc>
        <w:tc>
          <w:tcPr/>
          <w:p>
            <w:pPr>
              <w:pStyle w:val="Compact"/>
            </w:pPr>
            <w:r>
              <w:t xml:space="preserve">-47,4 %</w:t>
            </w:r>
          </w:p>
        </w:tc>
        <w:tc>
          <w:tcPr/>
          <w:p>
            <w:pPr>
              <w:pStyle w:val="Compact"/>
            </w:pPr>
            <w:r>
              <w:t xml:space="preserve">30 / 30</w:t>
            </w:r>
          </w:p>
        </w:tc>
      </w:tr>
    </w:tbl>
    <w:p>
      <w:pPr>
        <w:pStyle w:val="BodyText"/>
      </w:pPr>
      <w:r>
        <w:rPr>
          <w:b/>
          <w:bCs/>
        </w:rPr>
        <w:t xml:space="preserve">LSTM global.</w:t>
      </w:r>
      <w:r>
        <w:t xml:space="preserve"> </w:t>
      </w:r>
      <w:r>
        <w:t xml:space="preserve">Un seul réseau est entraîné sur toutes les villes, chacune ramenée à sa propre normale ; un vecteur appris par</w:t>
      </w:r>
      <w:r>
        <w:t xml:space="preserve"> </w:t>
      </w:r>
      <w:r>
        <w:t xml:space="preserve">ville lui permet de s’adapter au climat local. Son RMSE moyen est de 1,1674 contre</w:t>
      </w:r>
      <w:r>
        <w:t xml:space="preserve"> </w:t>
      </w:r>
      <w:r>
        <w:t xml:space="preserve">1,1696 pour les réseaux entraînés ville par ville : mettre les villes en commun aide.</w:t>
      </w:r>
    </w:p>
    <w:p>
      <w:pPr>
        <w:pStyle w:val="BodyText"/>
      </w:pPr>
      <w:r>
        <w:rPr>
          <w:b/>
          <w:bCs/>
        </w:rPr>
        <w:t xml:space="preserve">Modèles additionnels.</w:t>
      </w:r>
      <w:r>
        <w:t xml:space="preserve"> </w:t>
      </w:r>
      <w:r>
        <w:t xml:space="preserve">XGBoost prévoit chaque horizon par un modèle séparé, à partir de variables ex ante (dernières</w:t>
      </w:r>
      <w:r>
        <w:t xml:space="preserve"> </w:t>
      </w:r>
      <w:r>
        <w:t xml:space="preserve">productions, météo de la veille, calendrier, normale). Prophet (1,1952) n’utilise pas les dernières</w:t>
      </w:r>
      <w:r>
        <w:t xml:space="preserve"> </w:t>
      </w:r>
      <w:r>
        <w:t xml:space="preserve">observations : c’est une climatologie lissée, et il ne peut pas faire mieux qu’elle à court terme.</w:t>
      </w:r>
    </w:p>
    <w:p>
      <w:pPr>
        <w:pStyle w:val="BodyText"/>
      </w:pPr>
      <w:r>
        <w:rPr>
          <w:b/>
          <w:bCs/>
        </w:rPr>
        <w:t xml:space="preserve">Ce qui n’est pas repris.</w:t>
      </w:r>
      <w:r>
        <w:t xml:space="preserve"> </w:t>
      </w:r>
      <w:r>
        <w:t xml:space="preserve">Le modèle hybride ARIMA + LSTM de la première étude n’a pas été étendu aux nouvelles villes. Il reste</w:t>
      </w:r>
      <w:r>
        <w:t xml:space="preserve"> </w:t>
      </w:r>
      <w:r>
        <w:t xml:space="preserve">dans le notebook historique, où son RMSE à Tunis était de 1,0847 contre 1,0892 pour l’ARIMA seul : sans</w:t>
      </w:r>
      <w:r>
        <w:t xml:space="preserve"> </w:t>
      </w:r>
      <w:r>
        <w:t xml:space="preserve">information nouvelle sur la météo à venir, il ne reste presque rien à apprendre des erreurs.</w:t>
      </w:r>
    </w:p>
    <w:p>
      <w:r>
        <w:br w:type="page"/>
      </w:r>
    </w:p>
    <w:bookmarkEnd w:id="45"/>
    <w:bookmarkEnd w:id="46"/>
    <w:bookmarkStart w:id="57" w:name="technologies-photovoltaïques"/>
    <w:p>
      <w:pPr>
        <w:pStyle w:val="Heading1"/>
      </w:pPr>
      <w:r>
        <w:t xml:space="preserve">6. Technologies photovoltaïques</w:t>
      </w:r>
    </w:p>
    <w:bookmarkStart w:id="50" w:name="trois-technologies-cinq-critères"/>
    <w:p>
      <w:pPr>
        <w:pStyle w:val="Heading2"/>
      </w:pPr>
      <w:r>
        <w:t xml:space="preserve">6.1 Trois technologies, cinq critères</w:t>
      </w:r>
    </w:p>
    <w:p>
      <w:pPr>
        <w:pStyle w:val="FirstParagraph"/>
      </w:pPr>
      <w:r>
        <w:t xml:space="preserve">PVGIS simule trois technologies de modules : le silicium cristallin (crystSi) et deux couches minces, CIS et CdTe. Pour chaque</w:t>
      </w:r>
      <w:r>
        <w:t xml:space="preserve"> </w:t>
      </w:r>
      <w:r>
        <w:t xml:space="preserve">ville et chaque technologie, cinq critères sont</w:t>
      </w:r>
      <w:r>
        <w:t xml:space="preserve"> </w:t>
      </w:r>
      <w:r>
        <w:rPr>
          <w:b/>
          <w:bCs/>
        </w:rPr>
        <w:t xml:space="preserve">calculés</w:t>
      </w:r>
      <w:r>
        <w:t xml:space="preserve"> </w:t>
      </w:r>
      <w:r>
        <w:t xml:space="preserve">à partir des données ; aucun n’est une appréciation.</w:t>
      </w:r>
    </w:p>
    <w:p>
      <w:pPr>
        <w:pStyle w:val="TableCaption"/>
      </w:pPr>
      <w:r>
        <w:t xml:space="preserve">Critères du score de fiabilité. Chaque critère est ramené entre 0 et 1 parmi les villes d’un même pays.</w:t>
      </w:r>
    </w:p>
    <w:tbl>
      <w:tblPr>
        <w:tblStyle w:val="Table"/>
        <w:tblW w:type="pct" w:w="5000"/>
        <w:tblLayout w:type="fixed"/>
        <w:tblLook w:firstRow="1" w:lastRow="0" w:firstColumn="0" w:lastColumn="0" w:noHBand="0" w:noVBand="0" w:val="0020"/>
        <w:tblCaption w:val="Critères du score de fiabilité. Chaque critère est ramené entre 0 et 1 parmi les villes d’un même pays."/>
      </w:tblPr>
      <w:tblGrid>
        <w:gridCol w:w="2640"/>
        <w:gridCol w:w="2640"/>
        <w:gridCol w:w="2640"/>
      </w:tblGrid>
      <w:tr>
        <w:trPr>
          <w:tblHeader w:val="on"/>
        </w:trPr>
        <w:tc>
          <w:tcPr/>
          <w:p>
            <w:pPr>
              <w:pStyle w:val="Compact"/>
            </w:pPr>
            <w:r>
              <w:t xml:space="preserve">Critère</w:t>
            </w:r>
          </w:p>
        </w:tc>
        <w:tc>
          <w:tcPr/>
          <w:p>
            <w:pPr>
              <w:pStyle w:val="Compact"/>
            </w:pPr>
            <w:r>
              <w:t xml:space="preserve">Poids</w:t>
            </w:r>
          </w:p>
        </w:tc>
        <w:tc>
          <w:tcPr/>
          <w:p>
            <w:pPr>
              <w:pStyle w:val="Compact"/>
            </w:pPr>
            <w:r>
              <w:t xml:space="preserve">Sens</w:t>
            </w:r>
          </w:p>
        </w:tc>
      </w:tr>
      <w:tr>
        <w:tc>
          <w:tcPr/>
          <w:p>
            <w:pPr>
              <w:pStyle w:val="Compact"/>
            </w:pPr>
            <w:r>
              <w:t xml:space="preserve">Erreur de prévision à 1-7 jours rapportée à la production (WAPE, %)</w:t>
            </w:r>
          </w:p>
        </w:tc>
        <w:tc>
          <w:tcPr/>
          <w:p>
            <w:pPr>
              <w:pStyle w:val="Compact"/>
            </w:pPr>
            <w:r>
              <w:t xml:space="preserve">0,25</w:t>
            </w:r>
          </w:p>
        </w:tc>
        <w:tc>
          <w:tcPr/>
          <w:p>
            <w:pPr>
              <w:pStyle w:val="Compact"/>
            </w:pPr>
            <w:r>
              <w:t xml:space="preserve">plus bas = mieux</w:t>
            </w:r>
          </w:p>
        </w:tc>
      </w:tr>
      <w:tr>
        <w:tc>
          <w:tcPr/>
          <w:p>
            <w:pPr>
              <w:pStyle w:val="Compact"/>
            </w:pPr>
            <w:r>
              <w:t xml:space="preserve">Variabilité journalière, mensuelle et interannuelle de la production</w:t>
            </w:r>
          </w:p>
        </w:tc>
        <w:tc>
          <w:tcPr/>
          <w:p>
            <w:pPr>
              <w:pStyle w:val="Compact"/>
            </w:pPr>
            <w:r>
              <w:t xml:space="preserve">0,25</w:t>
            </w:r>
          </w:p>
        </w:tc>
        <w:tc>
          <w:tcPr/>
          <w:p>
            <w:pPr>
              <w:pStyle w:val="Compact"/>
            </w:pPr>
            <w:r>
              <w:t xml:space="preserve">plus bas = mieux</w:t>
            </w:r>
          </w:p>
        </w:tc>
      </w:tr>
      <w:tr>
        <w:tc>
          <w:tcPr/>
          <w:p>
            <w:pPr>
              <w:pStyle w:val="Compact"/>
            </w:pPr>
            <w:r>
              <w:t xml:space="preserve">Baisse du ratio de performance quand la température monte (% par °C)</w:t>
            </w:r>
          </w:p>
        </w:tc>
        <w:tc>
          <w:tcPr/>
          <w:p>
            <w:pPr>
              <w:pStyle w:val="Compact"/>
            </w:pPr>
            <w:r>
              <w:t xml:space="preserve">0,15</w:t>
            </w:r>
          </w:p>
        </w:tc>
        <w:tc>
          <w:tcPr/>
          <w:p>
            <w:pPr>
              <w:pStyle w:val="Compact"/>
            </w:pPr>
            <w:r>
              <w:t xml:space="preserve">plus bas = mieux</w:t>
            </w:r>
          </w:p>
        </w:tc>
      </w:tr>
      <w:tr>
        <w:tc>
          <w:tcPr/>
          <w:p>
            <w:pPr>
              <w:pStyle w:val="Compact"/>
            </w:pPr>
            <w:r>
              <w:t xml:space="preserve">Ratio de performance des jours peu ensoleillés rapporté à celui des jours très ensoleillés</w:t>
            </w:r>
          </w:p>
        </w:tc>
        <w:tc>
          <w:tcPr/>
          <w:p>
            <w:pPr>
              <w:pStyle w:val="Compact"/>
            </w:pPr>
            <w:r>
              <w:t xml:space="preserve">0,15</w:t>
            </w:r>
          </w:p>
        </w:tc>
        <w:tc>
          <w:tcPr/>
          <w:p>
            <w:pPr>
              <w:pStyle w:val="Compact"/>
            </w:pPr>
            <w:r>
              <w:t xml:space="preserve">plus haut = mieux</w:t>
            </w:r>
          </w:p>
        </w:tc>
      </w:tr>
      <w:tr>
        <w:tc>
          <w:tcPr/>
          <w:p>
            <w:pPr>
              <w:pStyle w:val="Compact"/>
            </w:pPr>
            <w:r>
              <w:t xml:space="preserve">Production annuelle moyenne (kWh/kWc/an)</w:t>
            </w:r>
          </w:p>
        </w:tc>
        <w:tc>
          <w:tcPr/>
          <w:p>
            <w:pPr>
              <w:pStyle w:val="Compact"/>
            </w:pPr>
            <w:r>
              <w:t xml:space="preserve">0,20</w:t>
            </w:r>
          </w:p>
        </w:tc>
        <w:tc>
          <w:tcPr/>
          <w:p>
            <w:pPr>
              <w:pStyle w:val="Compact"/>
            </w:pPr>
            <w:r>
              <w:t xml:space="preserve">plus haut = mieux</w:t>
            </w:r>
          </w:p>
        </w:tc>
      </w:tr>
    </w:tbl>
    <w:p>
      <w:pPr>
        <w:pStyle w:val="CaptionedFigure"/>
      </w:pPr>
      <w:r>
        <w:drawing>
          <wp:inline>
            <wp:extent cx="4319999" cy="2796865"/>
            <wp:effectExtent b="0" l="0" r="0" t="0"/>
            <wp:docPr descr="Production annuelle moyenne par pays et par technologie." title="" id="48" name="Picture"/>
            <a:graphic>
              <a:graphicData uri="http://schemas.openxmlformats.org/drawingml/2006/picture">
                <pic:pic>
                  <pic:nvPicPr>
                    <pic:cNvPr descr="../figures/07_technologies.png" id="49" name="Picture"/>
                    <pic:cNvPicPr>
                      <a:picLocks noChangeArrowheads="1" noChangeAspect="1"/>
                    </pic:cNvPicPr>
                  </pic:nvPicPr>
                  <pic:blipFill>
                    <a:blip r:embed="rId47"/>
                    <a:stretch>
                      <a:fillRect/>
                    </a:stretch>
                  </pic:blipFill>
                  <pic:spPr bwMode="auto">
                    <a:xfrm>
                      <a:off x="0" y="0"/>
                      <a:ext cx="4319999" cy="2796865"/>
                    </a:xfrm>
                    <a:prstGeom prst="rect">
                      <a:avLst/>
                    </a:prstGeom>
                    <a:noFill/>
                    <a:ln w="9525">
                      <a:noFill/>
                      <a:headEnd/>
                      <a:tailEnd/>
                    </a:ln>
                  </pic:spPr>
                </pic:pic>
              </a:graphicData>
            </a:graphic>
          </wp:inline>
        </w:drawing>
      </w:r>
    </w:p>
    <w:p>
      <w:pPr>
        <w:pStyle w:val="ImageCaption"/>
      </w:pPr>
      <w:r>
        <w:t xml:space="preserve">Production annuelle moyenne par pays et par technologie.</w:t>
      </w:r>
    </w:p>
    <w:p>
      <w:pPr>
        <w:pStyle w:val="TableCaption"/>
      </w:pPr>
      <w:r>
        <w:t xml:space="preserve">Indicateurs moyens par technologie, toutes villes.</w:t>
      </w:r>
    </w:p>
    <w:tbl>
      <w:tblPr>
        <w:tblStyle w:val="Table"/>
        <w:tblW w:type="pct" w:w="5000"/>
        <w:tblLayout w:type="fixed"/>
        <w:tblLook w:firstRow="1" w:lastRow="0" w:firstColumn="0" w:lastColumn="0" w:noHBand="0" w:noVBand="0" w:val="0020"/>
        <w:tblCaption w:val="Indicateurs moyens par technologie, toutes villes."/>
      </w:tblPr>
      <w:tblGrid>
        <w:gridCol w:w="1320"/>
        <w:gridCol w:w="1320"/>
        <w:gridCol w:w="1320"/>
        <w:gridCol w:w="1320"/>
        <w:gridCol w:w="1320"/>
        <w:gridCol w:w="1320"/>
      </w:tblGrid>
      <w:tr>
        <w:trPr>
          <w:tblHeader w:val="on"/>
        </w:trPr>
        <w:tc>
          <w:tcPr/>
          <w:p>
            <w:pPr>
              <w:pStyle w:val="Compact"/>
            </w:pPr>
            <w:r>
              <w:t xml:space="preserve">Technologie</w:t>
            </w:r>
          </w:p>
        </w:tc>
        <w:tc>
          <w:tcPr/>
          <w:p>
            <w:pPr>
              <w:pStyle w:val="Compact"/>
            </w:pPr>
            <w:r>
              <w:t xml:space="preserve">Production (kWh/kWc/an)</w:t>
            </w:r>
          </w:p>
        </w:tc>
        <w:tc>
          <w:tcPr/>
          <w:p>
            <w:pPr>
              <w:pStyle w:val="Compact"/>
            </w:pPr>
            <w:r>
              <w:t xml:space="preserve">Erreur de prévision (WAPE, %)</w:t>
            </w:r>
          </w:p>
        </w:tc>
        <w:tc>
          <w:tcPr/>
          <w:p>
            <w:pPr>
              <w:pStyle w:val="Compact"/>
            </w:pPr>
            <w:r>
              <w:t xml:space="preserve">Température (%/°C)</w:t>
            </w:r>
          </w:p>
        </w:tc>
        <w:tc>
          <w:tcPr/>
          <w:p>
            <w:pPr>
              <w:pStyle w:val="Compact"/>
            </w:pPr>
            <w:r>
              <w:t xml:space="preserve">Faible irradiation</w:t>
            </w:r>
          </w:p>
        </w:tc>
        <w:tc>
          <w:tcPr/>
          <w:p>
            <w:pPr>
              <w:pStyle w:val="Compact"/>
            </w:pPr>
            <w:r>
              <w:t xml:space="preserve">Variabilité journalière (%)</w:t>
            </w:r>
          </w:p>
        </w:tc>
      </w:tr>
      <w:tr>
        <w:tc>
          <w:tcPr/>
          <w:p>
            <w:pPr>
              <w:pStyle w:val="Compact"/>
            </w:pPr>
            <w:r>
              <w:t xml:space="preserve">CIS</w:t>
            </w:r>
          </w:p>
        </w:tc>
        <w:tc>
          <w:tcPr/>
          <w:p>
            <w:pPr>
              <w:pStyle w:val="Compact"/>
            </w:pPr>
            <w:r>
              <w:t xml:space="preserve">1 515</w:t>
            </w:r>
          </w:p>
        </w:tc>
        <w:tc>
          <w:tcPr/>
          <w:p>
            <w:pPr>
              <w:pStyle w:val="Compact"/>
            </w:pPr>
            <w:r>
              <w:t xml:space="preserve">22,4</w:t>
            </w:r>
          </w:p>
        </w:tc>
        <w:tc>
          <w:tcPr/>
          <w:p>
            <w:pPr>
              <w:pStyle w:val="Compact"/>
            </w:pPr>
            <w:r>
              <w:t xml:space="preserve">-0,53</w:t>
            </w:r>
          </w:p>
        </w:tc>
        <w:tc>
          <w:tcPr/>
          <w:p>
            <w:pPr>
              <w:pStyle w:val="Compact"/>
            </w:pPr>
            <w:r>
              <w:t xml:space="preserve">1,025</w:t>
            </w:r>
          </w:p>
        </w:tc>
        <w:tc>
          <w:tcPr/>
          <w:p>
            <w:pPr>
              <w:pStyle w:val="Compact"/>
            </w:pPr>
            <w:r>
              <w:t xml:space="preserve">31,0</w:t>
            </w:r>
          </w:p>
        </w:tc>
      </w:tr>
      <w:tr>
        <w:tc>
          <w:tcPr/>
          <w:p>
            <w:pPr>
              <w:pStyle w:val="Compact"/>
            </w:pPr>
            <w:r>
              <w:t xml:space="preserve">CdTe</w:t>
            </w:r>
          </w:p>
        </w:tc>
        <w:tc>
          <w:tcPr/>
          <w:p>
            <w:pPr>
              <w:pStyle w:val="Compact"/>
            </w:pPr>
            <w:r>
              <w:t xml:space="preserve">1 558</w:t>
            </w:r>
          </w:p>
        </w:tc>
        <w:tc>
          <w:tcPr/>
          <w:p>
            <w:pPr>
              <w:pStyle w:val="Compact"/>
            </w:pPr>
            <w:r>
              <w:t xml:space="preserve">23,3</w:t>
            </w:r>
          </w:p>
        </w:tc>
        <w:tc>
          <w:tcPr/>
          <w:p>
            <w:pPr>
              <w:pStyle w:val="Compact"/>
            </w:pPr>
            <w:r>
              <w:t xml:space="preserve">-0,37</w:t>
            </w:r>
          </w:p>
        </w:tc>
        <w:tc>
          <w:tcPr/>
          <w:p>
            <w:pPr>
              <w:pStyle w:val="Compact"/>
            </w:pPr>
            <w:r>
              <w:t xml:space="preserve">0,924</w:t>
            </w:r>
          </w:p>
        </w:tc>
        <w:tc>
          <w:tcPr/>
          <w:p>
            <w:pPr>
              <w:pStyle w:val="Compact"/>
            </w:pPr>
            <w:r>
              <w:t xml:space="preserve">32,2</w:t>
            </w:r>
          </w:p>
        </w:tc>
      </w:tr>
      <w:tr>
        <w:tc>
          <w:tcPr/>
          <w:p>
            <w:pPr>
              <w:pStyle w:val="Compact"/>
            </w:pPr>
            <w:r>
              <w:t xml:space="preserve">crystSi</w:t>
            </w:r>
          </w:p>
        </w:tc>
        <w:tc>
          <w:tcPr/>
          <w:p>
            <w:pPr>
              <w:pStyle w:val="Compact"/>
            </w:pPr>
            <w:r>
              <w:t xml:space="preserve">1 530</w:t>
            </w:r>
          </w:p>
        </w:tc>
        <w:tc>
          <w:tcPr/>
          <w:p>
            <w:pPr>
              <w:pStyle w:val="Compact"/>
            </w:pPr>
            <w:r>
              <w:t xml:space="preserve">22,4</w:t>
            </w:r>
          </w:p>
        </w:tc>
        <w:tc>
          <w:tcPr/>
          <w:p>
            <w:pPr>
              <w:pStyle w:val="Compact"/>
            </w:pPr>
            <w:r>
              <w:t xml:space="preserve">-0,61</w:t>
            </w:r>
          </w:p>
        </w:tc>
        <w:tc>
          <w:tcPr/>
          <w:p>
            <w:pPr>
              <w:pStyle w:val="Compact"/>
            </w:pPr>
            <w:r>
              <w:t xml:space="preserve">1,017</w:t>
            </w:r>
          </w:p>
        </w:tc>
        <w:tc>
          <w:tcPr/>
          <w:p>
            <w:pPr>
              <w:pStyle w:val="Compact"/>
            </w:pPr>
            <w:r>
              <w:t xml:space="preserve">31,1</w:t>
            </w:r>
          </w:p>
        </w:tc>
      </w:tr>
    </w:tbl>
    <w:p>
      <w:pPr>
        <w:pStyle w:val="BodyText"/>
      </w:pPr>
      <w:r>
        <w:t xml:space="preserve">La technologie qui produit le plus en moyenne est CdTe (1 558 kWh/kWc/an). Les écarts</w:t>
      </w:r>
      <w:r>
        <w:t xml:space="preserve"> </w:t>
      </w:r>
      <w:r>
        <w:t xml:space="preserve">restent de quelques pour cent : les trois technologies voient le même ciel.</w:t>
      </w:r>
    </w:p>
    <w:bookmarkEnd w:id="50"/>
    <w:bookmarkStart w:id="54" w:name="recommandation-par-ville"/>
    <w:p>
      <w:pPr>
        <w:pStyle w:val="Heading2"/>
      </w:pPr>
      <w:r>
        <w:t xml:space="preserve">6.2 Recommandation par ville</w:t>
      </w:r>
    </w:p>
    <w:p>
      <w:pPr>
        <w:pStyle w:val="TableCaption"/>
      </w:pPr>
      <w:r>
        <w:t xml:space="preserve">Nombre de villes où chaque technologie obtient le meilleur score.</w:t>
      </w:r>
    </w:p>
    <w:tbl>
      <w:tblPr>
        <w:tblStyle w:val="Table"/>
        <w:tblW w:type="auto" w:w="0"/>
        <w:tblLook w:firstRow="1" w:lastRow="0" w:firstColumn="0" w:lastColumn="0" w:noHBand="0" w:noVBand="0" w:val="0020"/>
        <w:tblCaption w:val="Nombre de villes où chaque technologie obtient le meilleur score."/>
      </w:tblPr>
      <w:tblGrid>
        <w:gridCol w:w="2640"/>
        <w:gridCol w:w="2640"/>
        <w:gridCol w:w="2640"/>
      </w:tblGrid>
      <w:tr>
        <w:trPr>
          <w:tblHeader w:val="on"/>
        </w:trPr>
        <w:tc>
          <w:tcPr/>
          <w:p>
            <w:pPr>
              <w:pStyle w:val="Compact"/>
            </w:pPr>
            <w:r>
              <w:t xml:space="preserve">Pays</w:t>
            </w:r>
          </w:p>
        </w:tc>
        <w:tc>
          <w:tcPr/>
          <w:p>
            <w:pPr>
              <w:pStyle w:val="Compact"/>
            </w:pPr>
            <w:r>
              <w:t xml:space="preserve">CIS</w:t>
            </w:r>
          </w:p>
        </w:tc>
        <w:tc>
          <w:tcPr/>
          <w:p>
            <w:pPr>
              <w:pStyle w:val="Compact"/>
            </w:pPr>
            <w:r>
              <w:t xml:space="preserve">CdTe</w:t>
            </w:r>
          </w:p>
        </w:tc>
      </w:tr>
      <w:tr>
        <w:tc>
          <w:tcPr/>
          <w:p>
            <w:pPr>
              <w:pStyle w:val="Compact"/>
            </w:pPr>
            <w:r>
              <w:t xml:space="preserve">Espagne</w:t>
            </w:r>
          </w:p>
        </w:tc>
        <w:tc>
          <w:tcPr/>
          <w:p>
            <w:pPr>
              <w:pStyle w:val="Compact"/>
            </w:pPr>
            <w:r>
              <w:t xml:space="preserve">2</w:t>
            </w:r>
          </w:p>
        </w:tc>
        <w:tc>
          <w:tcPr/>
          <w:p>
            <w:pPr>
              <w:pStyle w:val="Compact"/>
            </w:pPr>
            <w:r>
              <w:t xml:space="preserve">8</w:t>
            </w:r>
          </w:p>
        </w:tc>
      </w:tr>
      <w:tr>
        <w:tc>
          <w:tcPr/>
          <w:p>
            <w:pPr>
              <w:pStyle w:val="Compact"/>
            </w:pPr>
            <w:r>
              <w:t xml:space="preserve">France</w:t>
            </w:r>
          </w:p>
        </w:tc>
        <w:tc>
          <w:tcPr/>
          <w:p>
            <w:pPr>
              <w:pStyle w:val="Compact"/>
            </w:pPr>
            <w:r>
              <w:t xml:space="preserve">9</w:t>
            </w:r>
          </w:p>
        </w:tc>
        <w:tc>
          <w:tcPr/>
          <w:p>
            <w:pPr>
              <w:pStyle w:val="Compact"/>
            </w:pPr>
            <w:r>
              <w:t xml:space="preserve">1</w:t>
            </w:r>
          </w:p>
        </w:tc>
      </w:tr>
      <w:tr>
        <w:tc>
          <w:tcPr/>
          <w:p>
            <w:pPr>
              <w:pStyle w:val="Compact"/>
            </w:pPr>
            <w:r>
              <w:t xml:space="preserve">Tunisie</w:t>
            </w:r>
          </w:p>
        </w:tc>
        <w:tc>
          <w:tcPr/>
          <w:p>
            <w:pPr>
              <w:pStyle w:val="Compact"/>
            </w:pPr>
            <w:r>
              <w:t xml:space="preserve">1</w:t>
            </w:r>
          </w:p>
        </w:tc>
        <w:tc>
          <w:tcPr/>
          <w:p>
            <w:pPr>
              <w:pStyle w:val="Compact"/>
            </w:pPr>
            <w:r>
              <w:t xml:space="preserve">9</w:t>
            </w:r>
          </w:p>
        </w:tc>
      </w:tr>
    </w:tbl>
    <w:p>
      <w:pPr>
        <w:pStyle w:val="CaptionedFigure"/>
      </w:pPr>
      <w:r>
        <w:drawing>
          <wp:inline>
            <wp:extent cx="4679999" cy="5464670"/>
            <wp:effectExtent b="0" l="0" r="0" t="0"/>
            <wp:docPr descr="Écart de score entre les deux premières technologies de chaque ville." title="" id="52" name="Picture"/>
            <a:graphic>
              <a:graphicData uri="http://schemas.openxmlformats.org/drawingml/2006/picture">
                <pic:pic>
                  <pic:nvPicPr>
                    <pic:cNvPr descr="../figures/08_decision_technologie.png" id="53" name="Picture"/>
                    <pic:cNvPicPr>
                      <a:picLocks noChangeArrowheads="1" noChangeAspect="1"/>
                    </pic:cNvPicPr>
                  </pic:nvPicPr>
                  <pic:blipFill>
                    <a:blip r:embed="rId51"/>
                    <a:stretch>
                      <a:fillRect/>
                    </a:stretch>
                  </pic:blipFill>
                  <pic:spPr bwMode="auto">
                    <a:xfrm>
                      <a:off x="0" y="0"/>
                      <a:ext cx="4679999" cy="5464670"/>
                    </a:xfrm>
                    <a:prstGeom prst="rect">
                      <a:avLst/>
                    </a:prstGeom>
                    <a:noFill/>
                    <a:ln w="9525">
                      <a:noFill/>
                      <a:headEnd/>
                      <a:tailEnd/>
                    </a:ln>
                  </pic:spPr>
                </pic:pic>
              </a:graphicData>
            </a:graphic>
          </wp:inline>
        </w:drawing>
      </w:r>
    </w:p>
    <w:p>
      <w:pPr>
        <w:pStyle w:val="ImageCaption"/>
      </w:pPr>
      <w:r>
        <w:t xml:space="preserve">Écart de score entre les deux premières technologies de chaque ville.</w:t>
      </w:r>
    </w:p>
    <w:p>
      <w:pPr>
        <w:pStyle w:val="BodyText"/>
      </w:pPr>
      <w:r>
        <w:t xml:space="preserve">L’incertitude est mesurée en rééchantillonnant des années entières, ce qui garde la saison intacte. Quand l’écart entre les</w:t>
      </w:r>
      <w:r>
        <w:t xml:space="preserve"> </w:t>
      </w:r>
      <w:r>
        <w:t xml:space="preserve">deux premières technologies tient dans cette marge, le rapport le dit :</w:t>
      </w:r>
      <w:r>
        <w:t xml:space="preserve"> </w:t>
      </w:r>
      <w:r>
        <w:rPr>
          <w:b/>
          <w:bCs/>
        </w:rPr>
        <w:t xml:space="preserve">5 villes sur 30 sont ex æquo</w:t>
      </w:r>
      <w:r>
        <w:t xml:space="preserve">.</w:t>
      </w:r>
      <w:r>
        <w:t xml:space="preserve"> </w:t>
      </w:r>
      <w:r>
        <w:t xml:space="preserve">Dans les 25 autres, la technologie recommandée garde la première place dans 100 % des rééchantillonnages en moyenne.</w:t>
      </w:r>
      <w:r>
        <w:t xml:space="preserve"> </w:t>
      </w:r>
      <w:r>
        <w:t xml:space="preserve">Le classement dépend aussi des poids : en les faisant varier, la technologie recommandée reste première dans</w:t>
      </w:r>
      <w:r>
        <w:t xml:space="preserve"> </w:t>
      </w:r>
      <w:r>
        <w:t xml:space="preserve">72 % des tirages en moyenne. Le tableau par ville, avec le deuxième choix et la</w:t>
      </w:r>
      <w:r>
        <w:t xml:space="preserve"> </w:t>
      </w:r>
      <w:r>
        <w:t xml:space="preserve">justification chiffrée, est dans</w:t>
      </w:r>
      <w:r>
        <w:t xml:space="preserve"> </w:t>
      </w:r>
      <w:r>
        <w:rPr>
          <w:rStyle w:val="VerbatimChar"/>
        </w:rPr>
        <w:t xml:space="preserve">reports/tech_recommendation.csv</w:t>
      </w:r>
      <w:r>
        <w:t xml:space="preserve"> </w:t>
      </w:r>
      <w:r>
        <w:t xml:space="preserve">et dans l’application.</w:t>
      </w:r>
    </w:p>
    <w:p>
      <w:pPr>
        <w:pStyle w:val="BodyText"/>
      </w:pPr>
      <w:r>
        <w:rPr>
          <w:b/>
          <w:bCs/>
        </w:rPr>
        <w:t xml:space="preserve">Peut-on deviner la technologie à partir du climat ?</w:t>
      </w:r>
      <w:r>
        <w:t xml:space="preserve"> </w:t>
      </w:r>
      <w:r>
        <w:t xml:space="preserve">Un arbre de décision reçoit les caractéristiques de la ville (latitude, altitude, irradiation, températures, nébulosité, variabilité). Jugé ville par ville, chaque ville étant prédite par un modèle qui ne l’a pas vue, il retrouve la technologie recommandée dans 83 % des cas. Proposer partout la technologie la plus fréquente en retrouve 60 %. L’arbre fait donc mieux que cette règle simple, sur un échantillon qui reste petit.</w:t>
      </w:r>
    </w:p>
    <w:bookmarkEnd w:id="54"/>
    <w:bookmarkStart w:id="55" w:name="orientation"/>
    <w:p>
      <w:pPr>
        <w:pStyle w:val="Heading2"/>
      </w:pPr>
      <w:r>
        <w:t xml:space="preserve">6.3 Orientation</w:t>
      </w:r>
    </w:p>
    <w:p>
      <w:pPr>
        <w:pStyle w:val="FirstParagraph"/>
      </w:pPr>
      <w:r>
        <w:t xml:space="preserve">Pour la technologie recommandée de chaque ville, PVGIS simule trois orientations : plein sud à la pente optimale (l’installation</w:t>
      </w:r>
      <w:r>
        <w:t xml:space="preserve"> </w:t>
      </w:r>
      <w:r>
        <w:t xml:space="preserve">de toute l’étude), deux pans est et ouest inclinés à 10°, et une orientation dont la pente et</w:t>
      </w:r>
      <w:r>
        <w:t xml:space="preserve"> </w:t>
      </w:r>
      <w:r>
        <w:t xml:space="preserve">l’azimut sont optimisés ensemble.</w:t>
      </w:r>
    </w:p>
    <w:p>
      <w:pPr>
        <w:pStyle w:val="TableCaption"/>
      </w:pPr>
      <w:r>
        <w:t xml:space="preserve">Effet de l’orientation sur la production annuelle, moyenne par pays.</w:t>
      </w:r>
    </w:p>
    <w:tbl>
      <w:tblPr>
        <w:tblStyle w:val="Table"/>
        <w:tblW w:type="pct" w:w="5000"/>
        <w:tblLayout w:type="fixed"/>
        <w:tblLook w:firstRow="1" w:lastRow="0" w:firstColumn="0" w:lastColumn="0" w:noHBand="0" w:noVBand="0" w:val="0020"/>
        <w:tblCaption w:val="Effet de l’orientation sur la production annuelle, moyenne par pays."/>
      </w:tblPr>
      <w:tblGrid>
        <w:gridCol w:w="2640"/>
        <w:gridCol w:w="2640"/>
        <w:gridCol w:w="2640"/>
      </w:tblGrid>
      <w:tr>
        <w:trPr>
          <w:tblHeader w:val="on"/>
        </w:trPr>
        <w:tc>
          <w:tcPr/>
          <w:p>
            <w:pPr>
              <w:pStyle w:val="Compact"/>
            </w:pPr>
            <w:r>
              <w:t xml:space="preserve">Pays</w:t>
            </w:r>
          </w:p>
        </w:tc>
        <w:tc>
          <w:tcPr/>
          <w:p>
            <w:pPr>
              <w:pStyle w:val="Compact"/>
            </w:pPr>
            <w:r>
              <w:t xml:space="preserve">Est-ouest par rapport au sud (%)</w:t>
            </w:r>
          </w:p>
        </w:tc>
        <w:tc>
          <w:tcPr/>
          <w:p>
            <w:pPr>
              <w:pStyle w:val="Compact"/>
            </w:pPr>
            <w:r>
              <w:t xml:space="preserve">Gain de l’azimut optimisé (%)</w:t>
            </w:r>
          </w:p>
        </w:tc>
      </w:tr>
      <w:tr>
        <w:tc>
          <w:tcPr/>
          <w:p>
            <w:pPr>
              <w:pStyle w:val="Compact"/>
            </w:pPr>
            <w:r>
              <w:t xml:space="preserve">Espagne</w:t>
            </w:r>
          </w:p>
        </w:tc>
        <w:tc>
          <w:tcPr/>
          <w:p>
            <w:pPr>
              <w:pStyle w:val="Compact"/>
            </w:pPr>
            <w:r>
              <w:t xml:space="preserve">-16,2</w:t>
            </w:r>
          </w:p>
        </w:tc>
        <w:tc>
          <w:tcPr/>
          <w:p>
            <w:pPr>
              <w:pStyle w:val="Compact"/>
            </w:pPr>
            <w:r>
              <w:t xml:space="preserve">0,02</w:t>
            </w:r>
          </w:p>
        </w:tc>
      </w:tr>
      <w:tr>
        <w:tc>
          <w:tcPr/>
          <w:p>
            <w:pPr>
              <w:pStyle w:val="Compact"/>
            </w:pPr>
            <w:r>
              <w:t xml:space="preserve">France</w:t>
            </w:r>
          </w:p>
        </w:tc>
        <w:tc>
          <w:tcPr/>
          <w:p>
            <w:pPr>
              <w:pStyle w:val="Compact"/>
            </w:pPr>
            <w:r>
              <w:t xml:space="preserve">-17,1</w:t>
            </w:r>
          </w:p>
        </w:tc>
        <w:tc>
          <w:tcPr/>
          <w:p>
            <w:pPr>
              <w:pStyle w:val="Compact"/>
            </w:pPr>
            <w:r>
              <w:t xml:space="preserve">0,01</w:t>
            </w:r>
          </w:p>
        </w:tc>
      </w:tr>
      <w:tr>
        <w:tc>
          <w:tcPr/>
          <w:p>
            <w:pPr>
              <w:pStyle w:val="Compact"/>
            </w:pPr>
            <w:r>
              <w:t xml:space="preserve">Tunisie</w:t>
            </w:r>
          </w:p>
        </w:tc>
        <w:tc>
          <w:tcPr/>
          <w:p>
            <w:pPr>
              <w:pStyle w:val="Compact"/>
            </w:pPr>
            <w:r>
              <w:t xml:space="preserve">-13,5</w:t>
            </w:r>
          </w:p>
        </w:tc>
        <w:tc>
          <w:tcPr/>
          <w:p>
            <w:pPr>
              <w:pStyle w:val="Compact"/>
            </w:pPr>
            <w:r>
              <w:t xml:space="preserve">0,01</w:t>
            </w:r>
          </w:p>
        </w:tc>
      </w:tr>
    </w:tbl>
    <w:p>
      <w:pPr>
        <w:pStyle w:val="BodyText"/>
      </w:pPr>
      <w:r>
        <w:t xml:space="preserve">Une toiture à deux pans est et ouest produit de 13 % (Bizerte) à</w:t>
      </w:r>
      <w:r>
        <w:t xml:space="preserve"> </w:t>
      </w:r>
      <w:r>
        <w:t xml:space="preserve">19 % (Marseille) de moins que le plein sud. Optimiser l’azimut n’apporte presque</w:t>
      </w:r>
      <w:r>
        <w:t xml:space="preserve"> </w:t>
      </w:r>
      <w:r>
        <w:t xml:space="preserve">rien : l’azimut optimal s’écarte du sud de 5° au plus, pour un gain maximal de</w:t>
      </w:r>
      <w:r>
        <w:t xml:space="preserve"> </w:t>
      </w:r>
      <w:r>
        <w:t xml:space="preserve">0,05 %. Le plein sud à la pente optimale est donc un bon choix partout.</w:t>
      </w:r>
    </w:p>
    <w:bookmarkEnd w:id="55"/>
    <w:bookmarkStart w:id="56" w:name="limites"/>
    <w:p>
      <w:pPr>
        <w:pStyle w:val="Heading2"/>
      </w:pPr>
      <w:r>
        <w:t xml:space="preserve">6.4 Limites</w:t>
      </w:r>
    </w:p>
    <w:p>
      <w:pPr>
        <w:pStyle w:val="Compact"/>
        <w:numPr>
          <w:ilvl w:val="0"/>
          <w:numId w:val="1003"/>
        </w:numPr>
      </w:pPr>
      <w:r>
        <w:t xml:space="preserve">Les productions sont des</w:t>
      </w:r>
      <w:r>
        <w:t xml:space="preserve"> </w:t>
      </w:r>
      <w:r>
        <w:rPr>
          <w:b/>
          <w:bCs/>
        </w:rPr>
        <w:t xml:space="preserve">simulations</w:t>
      </w:r>
      <w:r>
        <w:t xml:space="preserve"> </w:t>
      </w:r>
      <w:r>
        <w:t xml:space="preserve">: les écarts viennent des modèles de rendement de PVGIS, pas de mesures.</w:t>
      </w:r>
    </w:p>
    <w:p>
      <w:pPr>
        <w:pStyle w:val="Compact"/>
        <w:numPr>
          <w:ilvl w:val="0"/>
          <w:numId w:val="1003"/>
        </w:numPr>
      </w:pPr>
      <w:r>
        <w:t xml:space="preserve">La</w:t>
      </w:r>
      <w:r>
        <w:t xml:space="preserve"> </w:t>
      </w:r>
      <w:r>
        <w:rPr>
          <w:b/>
          <w:bCs/>
        </w:rPr>
        <w:t xml:space="preserve">dégradation</w:t>
      </w:r>
      <w:r>
        <w:t xml:space="preserve"> </w:t>
      </w:r>
      <w:r>
        <w:t xml:space="preserve">dans le temps et la</w:t>
      </w:r>
      <w:r>
        <w:t xml:space="preserve"> </w:t>
      </w:r>
      <w:r>
        <w:rPr>
          <w:b/>
          <w:bCs/>
        </w:rPr>
        <w:t xml:space="preserve">fiabilité mécanique</w:t>
      </w:r>
      <w:r>
        <w:t xml:space="preserve"> </w:t>
      </w:r>
      <w:r>
        <w:t xml:space="preserve">ne sont pas modélisées par PVGIS.</w:t>
      </w:r>
    </w:p>
    <w:p>
      <w:pPr>
        <w:pStyle w:val="Compact"/>
        <w:numPr>
          <w:ilvl w:val="0"/>
          <w:numId w:val="1003"/>
        </w:numPr>
      </w:pPr>
      <w:r>
        <w:t xml:space="preserve">Les poids du score sont un choix ; ils sont écrits dans</w:t>
      </w:r>
      <w:r>
        <w:t xml:space="preserve"> </w:t>
      </w:r>
      <w:r>
        <w:rPr>
          <w:rStyle w:val="VerbatimChar"/>
        </w:rPr>
        <w:t xml:space="preserve">configs/reliability.yaml</w:t>
      </w:r>
      <w:r>
        <w:t xml:space="preserve"> </w:t>
      </w:r>
      <w:r>
        <w:t xml:space="preserve">et leur influence est mesurée.</w:t>
      </w:r>
    </w:p>
    <w:p>
      <w:r>
        <w:br w:type="page"/>
      </w:r>
    </w:p>
    <w:bookmarkEnd w:id="56"/>
    <w:bookmarkEnd w:id="57"/>
    <w:bookmarkStart w:id="67" w:name="bénéfices-économiques"/>
    <w:p>
      <w:pPr>
        <w:pStyle w:val="Heading1"/>
      </w:pPr>
      <w:r>
        <w:t xml:space="preserve">7. Bénéfices économiques</w:t>
      </w:r>
    </w:p>
    <w:p>
      <w:pPr>
        <w:pStyle w:val="BlockText"/>
      </w:pPr>
      <w:r>
        <w:rPr>
          <w:b/>
          <w:bCs/>
        </w:rPr>
        <w:t xml:space="preserve">Avertissement.</w:t>
      </w:r>
      <w:r>
        <w:t xml:space="preserve"> </w:t>
      </w:r>
      <w:r>
        <w:t xml:space="preserve">Aucune des hypothèses de ce chapitre n’est une donnée du projet. Tarifs, coûts et taux sont des ordres de</w:t>
      </w:r>
      <w:r>
        <w:t xml:space="preserve"> </w:t>
      </w:r>
      <w:r>
        <w:t xml:space="preserve">grandeur à confirmer auprès des sources indiquées ; chacun est marqué</w:t>
      </w:r>
      <w:r>
        <w:t xml:space="preserve"> </w:t>
      </w:r>
      <w:r>
        <w:rPr>
          <w:rStyle w:val="VerbatimChar"/>
        </w:rPr>
        <w:t xml:space="preserve">TODO_VERIFY</w:t>
      </w:r>
      <w:r>
        <w:t xml:space="preserve"> </w:t>
      </w:r>
      <w:r>
        <w:t xml:space="preserve">dans</w:t>
      </w:r>
      <w:r>
        <w:t xml:space="preserve"> </w:t>
      </w:r>
      <w:r>
        <w:rPr>
          <w:rStyle w:val="VerbatimChar"/>
        </w:rPr>
        <w:t xml:space="preserve">configs/economics.yaml</w:t>
      </w:r>
      <w:r>
        <w:t xml:space="preserve">. Les résultats</w:t>
      </w:r>
      <w:r>
        <w:t xml:space="preserve"> </w:t>
      </w:r>
      <w:r>
        <w:t xml:space="preserve">sont indicatifs. Ce n’est pas un conseil financier.</w:t>
      </w:r>
    </w:p>
    <w:bookmarkStart w:id="58" w:name="hypothèses"/>
    <w:p>
      <w:pPr>
        <w:pStyle w:val="Heading2"/>
      </w:pPr>
      <w:r>
        <w:t xml:space="preserve">7.1 Hypothèses</w:t>
      </w:r>
    </w:p>
    <w:p>
      <w:pPr>
        <w:pStyle w:val="FirstParagraph"/>
      </w:pPr>
      <w:r>
        <w:t xml:space="preserve">L’installation type fait 3 kWc et dure 25 ans. Chaque hypothèse est</w:t>
      </w:r>
      <w:r>
        <w:t xml:space="preserve"> </w:t>
      </w:r>
      <w:r>
        <w:t xml:space="preserve">donnée par trois valeurs (basse / centrale / haute).</w:t>
      </w:r>
    </w:p>
    <w:p>
      <w:pPr>
        <w:pStyle w:val="TableCaption"/>
      </w:pPr>
      <w:r>
        <w:t xml:space="preserve">Hypothèses par pays, à vérifier (basse / centrale / haute).</w:t>
      </w:r>
    </w:p>
    <w:tbl>
      <w:tblPr>
        <w:tblStyle w:val="Table"/>
        <w:tblW w:type="pct" w:w="5000"/>
        <w:tblLayout w:type="fixed"/>
        <w:tblLook w:firstRow="1" w:lastRow="0" w:firstColumn="0" w:lastColumn="0" w:noHBand="0" w:noVBand="0" w:val="0020"/>
        <w:tblCaption w:val="Hypothèses par pays, à vérifier (basse / centrale / haute)."/>
      </w:tblPr>
      <w:tblGrid>
        <w:gridCol w:w="1584"/>
        <w:gridCol w:w="1584"/>
        <w:gridCol w:w="1584"/>
        <w:gridCol w:w="1584"/>
        <w:gridCol w:w="1584"/>
      </w:tblGrid>
      <w:tr>
        <w:trPr>
          <w:tblHeader w:val="on"/>
        </w:trPr>
        <w:tc>
          <w:tcPr/>
          <w:p>
            <w:pPr>
              <w:pStyle w:val="Compact"/>
            </w:pPr>
            <w:r>
              <w:t xml:space="preserve">Pays</w:t>
            </w:r>
          </w:p>
        </w:tc>
        <w:tc>
          <w:tcPr/>
          <w:p>
            <w:pPr>
              <w:pStyle w:val="Compact"/>
            </w:pPr>
            <w:r>
              <w:t xml:space="preserve">Prix d’achat (€/kWh)</w:t>
            </w:r>
          </w:p>
        </w:tc>
        <w:tc>
          <w:tcPr/>
          <w:p>
            <w:pPr>
              <w:pStyle w:val="Compact"/>
            </w:pPr>
            <w:r>
              <w:t xml:space="preserve">Rachat du surplus (€/kWh)</w:t>
            </w:r>
          </w:p>
        </w:tc>
        <w:tc>
          <w:tcPr/>
          <w:p>
            <w:pPr>
              <w:pStyle w:val="Compact"/>
            </w:pPr>
            <w:r>
              <w:t xml:space="preserve">Coût (€/kWc)</w:t>
            </w:r>
          </w:p>
        </w:tc>
        <w:tc>
          <w:tcPr/>
          <w:p>
            <w:pPr>
              <w:pStyle w:val="Compact"/>
            </w:pPr>
            <w:r>
              <w:t xml:space="preserve">CO2 du réseau (g/kWh)</w:t>
            </w:r>
          </w:p>
        </w:tc>
      </w:tr>
      <w:tr>
        <w:tc>
          <w:tcPr/>
          <w:p>
            <w:pPr>
              <w:pStyle w:val="Compact"/>
            </w:pPr>
            <w:r>
              <w:t xml:space="preserve">France</w:t>
            </w:r>
          </w:p>
        </w:tc>
        <w:tc>
          <w:tcPr/>
          <w:p>
            <w:pPr>
              <w:pStyle w:val="Compact"/>
            </w:pPr>
            <w:r>
              <w:t xml:space="preserve">0,19 / 0,22 / 0,27</w:t>
            </w:r>
          </w:p>
        </w:tc>
        <w:tc>
          <w:tcPr/>
          <w:p>
            <w:pPr>
              <w:pStyle w:val="Compact"/>
            </w:pPr>
            <w:r>
              <w:t xml:space="preserve">0,04 / 0,08 / 0,13</w:t>
            </w:r>
          </w:p>
        </w:tc>
        <w:tc>
          <w:tcPr/>
          <w:p>
            <w:pPr>
              <w:pStyle w:val="Compact"/>
            </w:pPr>
            <w:r>
              <w:t xml:space="preserve">1 500 / 2 000 / 2 600</w:t>
            </w:r>
          </w:p>
        </w:tc>
        <w:tc>
          <w:tcPr/>
          <w:p>
            <w:pPr>
              <w:pStyle w:val="Compact"/>
            </w:pPr>
            <w:r>
              <w:t xml:space="preserve">30 / 55 / 80</w:t>
            </w:r>
          </w:p>
        </w:tc>
      </w:tr>
      <w:tr>
        <w:tc>
          <w:tcPr/>
          <w:p>
            <w:pPr>
              <w:pStyle w:val="Compact"/>
            </w:pPr>
            <w:r>
              <w:t xml:space="preserve">Tunisie</w:t>
            </w:r>
          </w:p>
        </w:tc>
        <w:tc>
          <w:tcPr/>
          <w:p>
            <w:pPr>
              <w:pStyle w:val="Compact"/>
            </w:pPr>
            <w:r>
              <w:t xml:space="preserve">0,05 / 0,08 / 0,12</w:t>
            </w:r>
          </w:p>
        </w:tc>
        <w:tc>
          <w:tcPr/>
          <w:p>
            <w:pPr>
              <w:pStyle w:val="Compact"/>
            </w:pPr>
            <w:r>
              <w:t xml:space="preserve">0,03 / 0,06 / 0,10</w:t>
            </w:r>
          </w:p>
        </w:tc>
        <w:tc>
          <w:tcPr/>
          <w:p>
            <w:pPr>
              <w:pStyle w:val="Compact"/>
            </w:pPr>
            <w:r>
              <w:t xml:space="preserve">800 / 1 100 / 1 500</w:t>
            </w:r>
          </w:p>
        </w:tc>
        <w:tc>
          <w:tcPr/>
          <w:p>
            <w:pPr>
              <w:pStyle w:val="Compact"/>
            </w:pPr>
            <w:r>
              <w:t xml:space="preserve">420 / 480 / 560</w:t>
            </w:r>
          </w:p>
        </w:tc>
      </w:tr>
      <w:tr>
        <w:tc>
          <w:tcPr/>
          <w:p>
            <w:pPr>
              <w:pStyle w:val="Compact"/>
            </w:pPr>
            <w:r>
              <w:t xml:space="preserve">Espagne</w:t>
            </w:r>
          </w:p>
        </w:tc>
        <w:tc>
          <w:tcPr/>
          <w:p>
            <w:pPr>
              <w:pStyle w:val="Compact"/>
            </w:pPr>
            <w:r>
              <w:t xml:space="preserve">0,12 / 0,17 / 0,24</w:t>
            </w:r>
          </w:p>
        </w:tc>
        <w:tc>
          <w:tcPr/>
          <w:p>
            <w:pPr>
              <w:pStyle w:val="Compact"/>
            </w:pPr>
            <w:r>
              <w:t xml:space="preserve">0,03 / 0,06 / 0,10</w:t>
            </w:r>
          </w:p>
        </w:tc>
        <w:tc>
          <w:tcPr/>
          <w:p>
            <w:pPr>
              <w:pStyle w:val="Compact"/>
            </w:pPr>
            <w:r>
              <w:t xml:space="preserve">1 100 / 1 400 / 1 900</w:t>
            </w:r>
          </w:p>
        </w:tc>
        <w:tc>
          <w:tcPr/>
          <w:p>
            <w:pPr>
              <w:pStyle w:val="Compact"/>
            </w:pPr>
            <w:r>
              <w:t xml:space="preserve">120 / 170 / 230</w:t>
            </w:r>
          </w:p>
        </w:tc>
      </w:tr>
    </w:tbl>
    <w:p>
      <w:pPr>
        <w:pStyle w:val="BodyText"/>
      </w:pPr>
      <w:r>
        <w:t xml:space="preserve">Sources à confirmer : France : Tarif réglementé de vente et arrêté tarifaire EDF OA (CRE) ; base carbone ADEME ; Tunisie : Tarifs basse tension de la STEG et régime de comptage net ; ANME (PROSOL Elec) ; Espagne : PVPC (Red Eléctrica) et compensation simplifiée des excédents (RD 244/2019) ; MITECO.</w:t>
      </w:r>
      <w:r>
        <w:t xml:space="preserve"> </w:t>
      </w:r>
      <w:r>
        <w:t xml:space="preserve">S’y ajoutent la part autoconsommée (0,25 / 0,40 / 0,70), le taux d’actualisation</w:t>
      </w:r>
      <w:r>
        <w:t xml:space="preserve"> </w:t>
      </w:r>
      <w:r>
        <w:t xml:space="preserve">(2 / 4 / 7 %), la hausse annuelle du prix de l’électricité</w:t>
      </w:r>
      <w:r>
        <w:t xml:space="preserve"> </w:t>
      </w:r>
      <w:r>
        <w:t xml:space="preserve">(0 / 2 / 5 %), l’entretien et, par technologie, un surcoût et une dégradation annuelle.</w:t>
      </w:r>
    </w:p>
    <w:bookmarkEnd w:id="58"/>
    <w:bookmarkStart w:id="65" w:name="résultats-1"/>
    <w:p>
      <w:pPr>
        <w:pStyle w:val="Heading2"/>
      </w:pPr>
      <w:r>
        <w:t xml:space="preserve">7.2 Résultats</w:t>
      </w:r>
    </w:p>
    <w:p>
      <w:pPr>
        <w:pStyle w:val="FirstParagraph"/>
      </w:pPr>
      <w:r>
        <w:t xml:space="preserve">Une simulation de Monte-Carlo (5 000 tirages) tire chaque hypothèse dans sa plage et le productible</w:t>
      </w:r>
      <w:r>
        <w:t xml:space="preserve"> </w:t>
      </w:r>
      <w:r>
        <w:t xml:space="preserve">parmi les années observées. Aucun résultat n’est donné sans intervalle.</w:t>
      </w:r>
    </w:p>
    <w:p>
      <w:pPr>
        <w:pStyle w:val="TableCaption"/>
      </w:pPr>
      <w:r>
        <w:t xml:space="preserve">Résultats médians par pays, technologie crystSi, installation de 3 kWc.</w:t>
      </w:r>
    </w:p>
    <w:tbl>
      <w:tblPr>
        <w:tblStyle w:val="Table"/>
        <w:tblW w:type="pct" w:w="5000"/>
        <w:tblLayout w:type="fixed"/>
        <w:tblLook w:firstRow="1" w:lastRow="0" w:firstColumn="0" w:lastColumn="0" w:noHBand="0" w:noVBand="0" w:val="0020"/>
        <w:tblCaption w:val="Résultats médians par pays, technologie crystSi, installation de 3 kWc."/>
      </w:tblPr>
      <w:tblGrid>
        <w:gridCol w:w="990"/>
        <w:gridCol w:w="990"/>
        <w:gridCol w:w="990"/>
        <w:gridCol w:w="990"/>
        <w:gridCol w:w="990"/>
        <w:gridCol w:w="990"/>
        <w:gridCol w:w="990"/>
        <w:gridCol w:w="990"/>
      </w:tblGrid>
      <w:tr>
        <w:trPr>
          <w:tblHeader w:val="on"/>
        </w:trPr>
        <w:tc>
          <w:tcPr/>
          <w:p>
            <w:pPr>
              <w:pStyle w:val="Compact"/>
            </w:pPr>
            <w:r>
              <w:t xml:space="preserve">Pays</w:t>
            </w:r>
          </w:p>
        </w:tc>
        <w:tc>
          <w:tcPr/>
          <w:p>
            <w:pPr>
              <w:pStyle w:val="Compact"/>
            </w:pPr>
            <w:r>
              <w:t xml:space="preserve">VAN P10 (€)</w:t>
            </w:r>
          </w:p>
        </w:tc>
        <w:tc>
          <w:tcPr/>
          <w:p>
            <w:pPr>
              <w:pStyle w:val="Compact"/>
            </w:pPr>
            <w:r>
              <w:t xml:space="preserve">VAN P50 (€)</w:t>
            </w:r>
          </w:p>
        </w:tc>
        <w:tc>
          <w:tcPr/>
          <w:p>
            <w:pPr>
              <w:pStyle w:val="Compact"/>
            </w:pPr>
            <w:r>
              <w:t xml:space="preserve">VAN P90 (€)</w:t>
            </w:r>
          </w:p>
        </w:tc>
        <w:tc>
          <w:tcPr/>
          <w:p>
            <w:pPr>
              <w:pStyle w:val="Compact"/>
            </w:pPr>
            <w:r>
              <w:t xml:space="preserve">Temps de retour P50 (ans)</w:t>
            </w:r>
          </w:p>
        </w:tc>
        <w:tc>
          <w:tcPr/>
          <w:p>
            <w:pPr>
              <w:pStyle w:val="Compact"/>
            </w:pPr>
            <w:r>
              <w:t xml:space="preserve">Coût de l’énergie P50 (€/kWh)</w:t>
            </w:r>
          </w:p>
        </w:tc>
        <w:tc>
          <w:tcPr/>
          <w:p>
            <w:pPr>
              <w:pStyle w:val="Compact"/>
            </w:pPr>
            <w:r>
              <w:t xml:space="preserve">CO2 évité P50 (t)</w:t>
            </w:r>
          </w:p>
        </w:tc>
        <w:tc>
          <w:tcPr/>
          <w:p>
            <w:pPr>
              <w:pStyle w:val="Compact"/>
            </w:pPr>
            <w:r>
              <w:t xml:space="preserve">Probabilité VAN &gt; 0 (%)</w:t>
            </w:r>
          </w:p>
        </w:tc>
      </w:tr>
      <w:tr>
        <w:tc>
          <w:tcPr/>
          <w:p>
            <w:pPr>
              <w:pStyle w:val="Compact"/>
            </w:pPr>
            <w:r>
              <w:t xml:space="preserve">Espagne</w:t>
            </w:r>
          </w:p>
        </w:tc>
        <w:tc>
          <w:tcPr/>
          <w:p>
            <w:pPr>
              <w:pStyle w:val="Compact"/>
            </w:pPr>
            <w:r>
              <w:t xml:space="preserve">2 113</w:t>
            </w:r>
          </w:p>
        </w:tc>
        <w:tc>
          <w:tcPr/>
          <w:p>
            <w:pPr>
              <w:pStyle w:val="Compact"/>
            </w:pPr>
            <w:r>
              <w:t xml:space="preserve">4 542</w:t>
            </w:r>
          </w:p>
        </w:tc>
        <w:tc>
          <w:tcPr/>
          <w:p>
            <w:pPr>
              <w:pStyle w:val="Compact"/>
            </w:pPr>
            <w:r>
              <w:t xml:space="preserve">7 937</w:t>
            </w:r>
          </w:p>
        </w:tc>
        <w:tc>
          <w:tcPr/>
          <w:p>
            <w:pPr>
              <w:pStyle w:val="Compact"/>
            </w:pPr>
            <w:r>
              <w:t xml:space="preserve">8,4</w:t>
            </w:r>
          </w:p>
        </w:tc>
        <w:tc>
          <w:tcPr/>
          <w:p>
            <w:pPr>
              <w:pStyle w:val="Compact"/>
            </w:pPr>
            <w:r>
              <w:t xml:space="preserve">0,077</w:t>
            </w:r>
          </w:p>
        </w:tc>
        <w:tc>
          <w:tcPr/>
          <w:p>
            <w:pPr>
              <w:pStyle w:val="Compact"/>
            </w:pPr>
            <w:r>
              <w:t xml:space="preserve">19,6</w:t>
            </w:r>
          </w:p>
        </w:tc>
        <w:tc>
          <w:tcPr/>
          <w:p>
            <w:pPr>
              <w:pStyle w:val="Compact"/>
            </w:pPr>
            <w:r>
              <w:t xml:space="preserve">99</w:t>
            </w:r>
          </w:p>
        </w:tc>
      </w:tr>
      <w:tr>
        <w:tc>
          <w:tcPr/>
          <w:p>
            <w:pPr>
              <w:pStyle w:val="Compact"/>
            </w:pPr>
            <w:r>
              <w:t xml:space="preserve">France</w:t>
            </w:r>
          </w:p>
        </w:tc>
        <w:tc>
          <w:tcPr/>
          <w:p>
            <w:pPr>
              <w:pStyle w:val="Compact"/>
            </w:pPr>
            <w:r>
              <w:t xml:space="preserve">181</w:t>
            </w:r>
          </w:p>
        </w:tc>
        <w:tc>
          <w:tcPr/>
          <w:p>
            <w:pPr>
              <w:pStyle w:val="Compact"/>
            </w:pPr>
            <w:r>
              <w:t xml:space="preserve">2 684</w:t>
            </w:r>
          </w:p>
        </w:tc>
        <w:tc>
          <w:tcPr/>
          <w:p>
            <w:pPr>
              <w:pStyle w:val="Compact"/>
            </w:pPr>
            <w:r>
              <w:t xml:space="preserve">5 785</w:t>
            </w:r>
          </w:p>
        </w:tc>
        <w:tc>
          <w:tcPr/>
          <w:p>
            <w:pPr>
              <w:pStyle w:val="Compact"/>
            </w:pPr>
            <w:r>
              <w:t xml:space="preserve">11,6</w:t>
            </w:r>
          </w:p>
        </w:tc>
        <w:tc>
          <w:tcPr/>
          <w:p>
            <w:pPr>
              <w:pStyle w:val="Compact"/>
            </w:pPr>
            <w:r>
              <w:t xml:space="preserve">0,136</w:t>
            </w:r>
          </w:p>
        </w:tc>
        <w:tc>
          <w:tcPr/>
          <w:p>
            <w:pPr>
              <w:pStyle w:val="Compact"/>
            </w:pPr>
            <w:r>
              <w:t xml:space="preserve">4,9</w:t>
            </w:r>
          </w:p>
        </w:tc>
        <w:tc>
          <w:tcPr/>
          <w:p>
            <w:pPr>
              <w:pStyle w:val="Compact"/>
            </w:pPr>
            <w:r>
              <w:t xml:space="preserve">89</w:t>
            </w:r>
          </w:p>
        </w:tc>
      </w:tr>
      <w:tr>
        <w:tc>
          <w:tcPr/>
          <w:p>
            <w:pPr>
              <w:pStyle w:val="Compact"/>
            </w:pPr>
            <w:r>
              <w:t xml:space="preserve">Tunisie</w:t>
            </w:r>
          </w:p>
        </w:tc>
        <w:tc>
          <w:tcPr/>
          <w:p>
            <w:pPr>
              <w:pStyle w:val="Compact"/>
            </w:pPr>
            <w:r>
              <w:t xml:space="preserve">887</w:t>
            </w:r>
          </w:p>
        </w:tc>
        <w:tc>
          <w:tcPr/>
          <w:p>
            <w:pPr>
              <w:pStyle w:val="Compact"/>
            </w:pPr>
            <w:r>
              <w:t xml:space="preserve">2 660</w:t>
            </w:r>
          </w:p>
        </w:tc>
        <w:tc>
          <w:tcPr/>
          <w:p>
            <w:pPr>
              <w:pStyle w:val="Compact"/>
            </w:pPr>
            <w:r>
              <w:t xml:space="preserve">4 867</w:t>
            </w:r>
          </w:p>
        </w:tc>
        <w:tc>
          <w:tcPr/>
          <w:p>
            <w:pPr>
              <w:pStyle w:val="Compact"/>
            </w:pPr>
            <w:r>
              <w:t xml:space="preserve">9,5</w:t>
            </w:r>
          </w:p>
        </w:tc>
        <w:tc>
          <w:tcPr/>
          <w:p>
            <w:pPr>
              <w:pStyle w:val="Compact"/>
            </w:pPr>
            <w:r>
              <w:t xml:space="preserve">0,055</w:t>
            </w:r>
          </w:p>
        </w:tc>
        <w:tc>
          <w:tcPr/>
          <w:p>
            <w:pPr>
              <w:pStyle w:val="Compact"/>
            </w:pPr>
            <w:r>
              <w:t xml:space="preserve">59,4</w:t>
            </w:r>
          </w:p>
        </w:tc>
        <w:tc>
          <w:tcPr/>
          <w:p>
            <w:pPr>
              <w:pStyle w:val="Compact"/>
            </w:pPr>
            <w:r>
              <w:t xml:space="preserve">97</w:t>
            </w:r>
          </w:p>
        </w:tc>
      </w:tr>
    </w:tbl>
    <w:p>
      <w:pPr>
        <w:pStyle w:val="CaptionedFigure"/>
      </w:pPr>
      <w:r>
        <w:drawing>
          <wp:inline>
            <wp:extent cx="4679999" cy="5319880"/>
            <wp:effectExtent b="0" l="0" r="0" t="0"/>
            <wp:docPr descr="Valeur actuelle nette par ville : médiane et intervalle P10-P90." title="" id="60" name="Picture"/>
            <a:graphic>
              <a:graphicData uri="http://schemas.openxmlformats.org/drawingml/2006/picture">
                <pic:pic>
                  <pic:nvPicPr>
                    <pic:cNvPr descr="../figures/09_van_par_ville.png" id="61" name="Picture"/>
                    <pic:cNvPicPr>
                      <a:picLocks noChangeArrowheads="1" noChangeAspect="1"/>
                    </pic:cNvPicPr>
                  </pic:nvPicPr>
                  <pic:blipFill>
                    <a:blip r:embed="rId59"/>
                    <a:stretch>
                      <a:fillRect/>
                    </a:stretch>
                  </pic:blipFill>
                  <pic:spPr bwMode="auto">
                    <a:xfrm>
                      <a:off x="0" y="0"/>
                      <a:ext cx="4679999" cy="5319880"/>
                    </a:xfrm>
                    <a:prstGeom prst="rect">
                      <a:avLst/>
                    </a:prstGeom>
                    <a:noFill/>
                    <a:ln w="9525">
                      <a:noFill/>
                      <a:headEnd/>
                      <a:tailEnd/>
                    </a:ln>
                  </pic:spPr>
                </pic:pic>
              </a:graphicData>
            </a:graphic>
          </wp:inline>
        </w:drawing>
      </w:r>
    </w:p>
    <w:p>
      <w:pPr>
        <w:pStyle w:val="ImageCaption"/>
      </w:pPr>
      <w:r>
        <w:t xml:space="preserve">Valeur actuelle nette par ville : médiane et intervalle P10-P90.</w:t>
      </w:r>
    </w:p>
    <w:p>
      <w:pPr>
        <w:pStyle w:val="BodyText"/>
      </w:pPr>
      <w:r>
        <w:t xml:space="preserve">Les intervalles sont larges : l’incertitude sur les prix domine celle sur le soleil. Entre technologies, l’écart de valeur</w:t>
      </w:r>
      <w:r>
        <w:t xml:space="preserve"> </w:t>
      </w:r>
      <w:r>
        <w:t xml:space="preserve">actuelle nette n’est pas concluant dans 29 villes sur 30 (la première technologie gagne dans moins de</w:t>
      </w:r>
      <w:r>
        <w:t xml:space="preserve"> </w:t>
      </w:r>
      <w:r>
        <w:t xml:space="preserve">90 % des tirages), parce que le surcoût des couches minces est lui-même mal connu.</w:t>
      </w:r>
    </w:p>
    <w:p>
      <w:pPr>
        <w:pStyle w:val="CaptionedFigure"/>
      </w:pPr>
      <w:r>
        <w:drawing>
          <wp:inline>
            <wp:extent cx="4319999" cy="2466986"/>
            <wp:effectExtent b="0" l="0" r="0" t="0"/>
            <wp:docPr descr="Sensibilité de la valeur actuelle nette à chaque hypothèse, Tunis." title="" id="63" name="Picture"/>
            <a:graphic>
              <a:graphicData uri="http://schemas.openxmlformats.org/drawingml/2006/picture">
                <pic:pic>
                  <pic:nvPicPr>
                    <pic:cNvPr descr="../figures/10_sensibilite_van.png" id="64" name="Picture"/>
                    <pic:cNvPicPr>
                      <a:picLocks noChangeArrowheads="1" noChangeAspect="1"/>
                    </pic:cNvPicPr>
                  </pic:nvPicPr>
                  <pic:blipFill>
                    <a:blip r:embed="rId62"/>
                    <a:stretch>
                      <a:fillRect/>
                    </a:stretch>
                  </pic:blipFill>
                  <pic:spPr bwMode="auto">
                    <a:xfrm>
                      <a:off x="0" y="0"/>
                      <a:ext cx="4319999" cy="2466986"/>
                    </a:xfrm>
                    <a:prstGeom prst="rect">
                      <a:avLst/>
                    </a:prstGeom>
                    <a:noFill/>
                    <a:ln w="9525">
                      <a:noFill/>
                      <a:headEnd/>
                      <a:tailEnd/>
                    </a:ln>
                  </pic:spPr>
                </pic:pic>
              </a:graphicData>
            </a:graphic>
          </wp:inline>
        </w:drawing>
      </w:r>
    </w:p>
    <w:p>
      <w:pPr>
        <w:pStyle w:val="ImageCaption"/>
      </w:pPr>
      <w:r>
        <w:t xml:space="preserve">Sensibilité de la valeur actuelle nette à chaque hypothèse, Tunis.</w:t>
      </w:r>
    </w:p>
    <w:p>
      <w:pPr>
        <w:pStyle w:val="BodyText"/>
      </w:pPr>
      <w:r>
        <w:t xml:space="preserve">À Tunis, l’hypothèse qui pèse le plus est le prix de rachat (amplitude de 3 614 €),</w:t>
      </w:r>
      <w:r>
        <w:t xml:space="preserve"> </w:t>
      </w:r>
      <w:r>
        <w:t xml:space="preserve">devant la hausse du prix de l’électricité (3 385 €). Ce sont les premières valeurs à vérifier.</w:t>
      </w:r>
    </w:p>
    <w:bookmarkEnd w:id="65"/>
    <w:bookmarkStart w:id="66" w:name="valeur-de-la-prévision"/>
    <w:p>
      <w:pPr>
        <w:pStyle w:val="Heading2"/>
      </w:pPr>
      <w:r>
        <w:t xml:space="preserve">7.3 Valeur de la prévision</w:t>
      </w:r>
    </w:p>
    <w:p>
      <w:pPr>
        <w:pStyle w:val="FirstParagraph"/>
      </w:pPr>
      <w:r>
        <w:t xml:space="preserve">Que vaut une meilleure prévision ? Le modèle de coût est explicite : chaque kWh d’écart entre le plan et la production réelle</w:t>
      </w:r>
      <w:r>
        <w:t xml:space="preserve"> </w:t>
      </w:r>
      <w:r>
        <w:t xml:space="preserve">coûte une pénalité, tirée entre 0,01 et 0,06 €/kWh.</w:t>
      </w:r>
      <w:r>
        <w:t xml:space="preserve"> </w:t>
      </w:r>
      <w:r>
        <w:t xml:space="preserve">Remplacer la climatologie par le meilleur modèle ex ante évite en médiane 36 kWh d’erreur par an</w:t>
      </w:r>
      <w:r>
        <w:t xml:space="preserve"> </w:t>
      </w:r>
      <w:r>
        <w:t xml:space="preserve">pour 3 kWc, soit un gain médian de 1,17 € par an</w:t>
      </w:r>
      <w:r>
        <w:t xml:space="preserve"> </w:t>
      </w:r>
      <w:r>
        <w:t xml:space="preserve">(de 0,72 à 1,72 €). Pour une installation résidentielle, ce gain est</w:t>
      </w:r>
      <w:r>
        <w:t xml:space="preserve"> </w:t>
      </w:r>
      <w:r>
        <w:t xml:space="preserve">négligeable : la prévision ex ante ne prend de la valeur qu’à l’échelle d’un parc, ou associée à une prévision météo.</w:t>
      </w:r>
    </w:p>
    <w:p>
      <w:r>
        <w:br w:type="page"/>
      </w:r>
    </w:p>
    <w:bookmarkEnd w:id="66"/>
    <w:bookmarkEnd w:id="67"/>
    <w:bookmarkStart w:id="73" w:name="architecture-et-mlops"/>
    <w:p>
      <w:pPr>
        <w:pStyle w:val="Heading1"/>
      </w:pPr>
      <w:r>
        <w:t xml:space="preserve">8. Architecture et MLOps</w:t>
      </w:r>
    </w:p>
    <w:bookmarkStart w:id="68" w:name="organisation"/>
    <w:p>
      <w:pPr>
        <w:pStyle w:val="Heading2"/>
      </w:pPr>
      <w:r>
        <w:t xml:space="preserve">8.1 Organisation</w:t>
      </w:r>
    </w:p>
    <w:p>
      <w:pPr>
        <w:pStyle w:val="FirstParagraph"/>
      </w:pPr>
      <w:r>
        <w:t xml:space="preserve">Le code est un paquet Python installable (</w:t>
      </w:r>
      <w:r>
        <w:rPr>
          <w:rStyle w:val="VerbatimChar"/>
        </w:rPr>
        <w:t xml:space="preserve">src/solarvision/</w:t>
      </w:r>
      <w:r>
        <w:t xml:space="preserve">). Chaque étape est une commande de</w:t>
      </w:r>
      <w:r>
        <w:t xml:space="preserve"> </w:t>
      </w:r>
      <w:r>
        <w:rPr>
          <w:rStyle w:val="VerbatimChar"/>
        </w:rPr>
        <w:t xml:space="preserve">python -m solarvision.cli</w:t>
      </w:r>
      <w:r>
        <w:t xml:space="preserve"> </w:t>
      </w:r>
      <w:r>
        <w:t xml:space="preserve">:</w:t>
      </w:r>
      <w:r>
        <w:t xml:space="preserve"> </w:t>
      </w:r>
      <w:r>
        <w:rPr>
          <w:rStyle w:val="VerbatimChar"/>
        </w:rPr>
        <w:t xml:space="preserve">ingest</w:t>
      </w:r>
      <w:r>
        <w:t xml:space="preserve">,</w:t>
      </w:r>
      <w:r>
        <w:t xml:space="preserve"> </w:t>
      </w:r>
      <w:r>
        <w:rPr>
          <w:rStyle w:val="VerbatimChar"/>
        </w:rPr>
        <w:t xml:space="preserve">features</w:t>
      </w:r>
      <w:r>
        <w:t xml:space="preserve">,</w:t>
      </w:r>
      <w:r>
        <w:t xml:space="preserve"> </w:t>
      </w:r>
      <w:r>
        <w:rPr>
          <w:rStyle w:val="VerbatimChar"/>
        </w:rPr>
        <w:t xml:space="preserve">train</w:t>
      </w:r>
      <w:r>
        <w:t xml:space="preserve">,</w:t>
      </w:r>
      <w:r>
        <w:t xml:space="preserve"> </w:t>
      </w:r>
      <w:r>
        <w:rPr>
          <w:rStyle w:val="VerbatimChar"/>
        </w:rPr>
        <w:t xml:space="preserve">deep</w:t>
      </w:r>
      <w:r>
        <w:t xml:space="preserve">,</w:t>
      </w:r>
      <w:r>
        <w:t xml:space="preserve"> </w:t>
      </w:r>
      <w:r>
        <w:rPr>
          <w:rStyle w:val="VerbatimChar"/>
        </w:rPr>
        <w:t xml:space="preserve">evaluate</w:t>
      </w:r>
      <w:r>
        <w:t xml:space="preserve">,</w:t>
      </w:r>
      <w:r>
        <w:t xml:space="preserve"> </w:t>
      </w:r>
      <w:r>
        <w:rPr>
          <w:rStyle w:val="VerbatimChar"/>
        </w:rPr>
        <w:t xml:space="preserve">recommend</w:t>
      </w:r>
      <w:r>
        <w:t xml:space="preserve">,</w:t>
      </w:r>
      <w:r>
        <w:t xml:space="preserve"> </w:t>
      </w:r>
      <w:r>
        <w:rPr>
          <w:rStyle w:val="VerbatimChar"/>
        </w:rPr>
        <w:t xml:space="preserve">economics</w:t>
      </w:r>
      <w:r>
        <w:t xml:space="preserve">,</w:t>
      </w:r>
      <w:r>
        <w:t xml:space="preserve"> </w:t>
      </w:r>
      <w:r>
        <w:rPr>
          <w:rStyle w:val="VerbatimChar"/>
        </w:rPr>
        <w:t xml:space="preserve">register</w:t>
      </w:r>
      <w:r>
        <w:t xml:space="preserve">,</w:t>
      </w:r>
      <w:r>
        <w:t xml:space="preserve"> </w:t>
      </w:r>
      <w:r>
        <w:rPr>
          <w:rStyle w:val="VerbatimChar"/>
        </w:rPr>
        <w:t xml:space="preserve">monitor</w:t>
      </w:r>
      <w:r>
        <w:t xml:space="preserve">,</w:t>
      </w:r>
      <w:r>
        <w:t xml:space="preserve"> </w:t>
      </w:r>
      <w:r>
        <w:rPr>
          <w:rStyle w:val="VerbatimChar"/>
        </w:rPr>
        <w:t xml:space="preserve">serve</w:t>
      </w:r>
      <w:r>
        <w:t xml:space="preserve">,</w:t>
      </w:r>
      <w:r>
        <w:t xml:space="preserve"> </w:t>
      </w:r>
      <w:r>
        <w:rPr>
          <w:rStyle w:val="VerbatimChar"/>
        </w:rPr>
        <w:t xml:space="preserve">report</w:t>
      </w:r>
      <w:r>
        <w:t xml:space="preserve">. La commande</w:t>
      </w:r>
      <w:r>
        <w:t xml:space="preserve"> </w:t>
      </w:r>
      <w:r>
        <w:rPr>
          <w:rStyle w:val="VerbatimChar"/>
        </w:rPr>
        <w:t xml:space="preserve">pipeline</w:t>
      </w:r>
      <w:r>
        <w:t xml:space="preserve"> </w:t>
      </w:r>
      <w:r>
        <w:t xml:space="preserve">les enchaîne ; l’option</w:t>
      </w:r>
      <w:r>
        <w:t xml:space="preserve"> </w:t>
      </w:r>
      <w:r>
        <w:rPr>
          <w:rStyle w:val="VerbatimChar"/>
        </w:rPr>
        <w:t xml:space="preserve">--fast</w:t>
      </w:r>
      <w:r>
        <w:t xml:space="preserve"> </w:t>
      </w:r>
      <w:r>
        <w:t xml:space="preserve">les limite à trois villes pour les essais.</w:t>
      </w:r>
    </w:p>
    <w:p>
      <w:pPr>
        <w:pStyle w:val="TableCaption"/>
      </w:pPr>
      <w:r>
        <w:t xml:space="preserve">Où trouver quoi.</w:t>
      </w:r>
    </w:p>
    <w:tbl>
      <w:tblPr>
        <w:tblStyle w:val="Table"/>
        <w:tblW w:type="auto" w:w="0"/>
        <w:tblLook w:firstRow="1" w:lastRow="0" w:firstColumn="0" w:lastColumn="0" w:noHBand="0" w:noVBand="0" w:val="0020"/>
        <w:tblCaption w:val="Où trouver quoi."/>
      </w:tblPr>
      <w:tblGrid>
        <w:gridCol w:w="3960"/>
        <w:gridCol w:w="3960"/>
      </w:tblGrid>
      <w:tr>
        <w:trPr>
          <w:tblHeader w:val="on"/>
        </w:trPr>
        <w:tc>
          <w:tcPr/>
          <w:p>
            <w:pPr>
              <w:pStyle w:val="Compact"/>
            </w:pPr>
            <w:r>
              <w:t xml:space="preserve">Je cherche</w:t>
            </w:r>
          </w:p>
        </w:tc>
        <w:tc>
          <w:tcPr/>
          <w:p>
            <w:pPr>
              <w:pStyle w:val="Compact"/>
            </w:pPr>
            <w:r>
              <w:t xml:space="preserve">Emplacement</w:t>
            </w:r>
          </w:p>
        </w:tc>
      </w:tr>
      <w:tr>
        <w:tc>
          <w:tcPr/>
          <w:p>
            <w:pPr>
              <w:pStyle w:val="Compact"/>
            </w:pPr>
            <w:r>
              <w:t xml:space="preserve">Villes, paramètres, hypothèses</w:t>
            </w:r>
          </w:p>
        </w:tc>
        <w:tc>
          <w:tcPr/>
          <w:p>
            <w:pPr>
              <w:pStyle w:val="Compact"/>
            </w:pPr>
            <w:r>
              <w:rPr>
                <w:rStyle w:val="VerbatimChar"/>
              </w:rPr>
              <w:t xml:space="preserve">configs/</w:t>
            </w:r>
          </w:p>
        </w:tc>
      </w:tr>
      <w:tr>
        <w:tc>
          <w:tcPr/>
          <w:p>
            <w:pPr>
              <w:pStyle w:val="Compact"/>
            </w:pPr>
            <w:r>
              <w:t xml:space="preserve">Réponses brutes des API</w:t>
            </w:r>
          </w:p>
        </w:tc>
        <w:tc>
          <w:tcPr/>
          <w:p>
            <w:pPr>
              <w:pStyle w:val="Compact"/>
            </w:pPr>
            <w:r>
              <w:rPr>
                <w:rStyle w:val="VerbatimChar"/>
              </w:rPr>
              <w:t xml:space="preserve">data/raw/&lt;source&gt;/&lt;ville&gt;/</w:t>
            </w:r>
          </w:p>
        </w:tc>
      </w:tr>
      <w:tr>
        <w:tc>
          <w:tcPr/>
          <w:p>
            <w:pPr>
              <w:pStyle w:val="Compact"/>
            </w:pPr>
            <w:r>
              <w:t xml:space="preserve">Tables traitées, panel, découpages</w:t>
            </w:r>
          </w:p>
        </w:tc>
        <w:tc>
          <w:tcPr/>
          <w:p>
            <w:pPr>
              <w:pStyle w:val="Compact"/>
            </w:pPr>
            <w:r>
              <w:rPr>
                <w:rStyle w:val="VerbatimChar"/>
              </w:rPr>
              <w:t xml:space="preserve">data/processed/</w:t>
            </w:r>
          </w:p>
        </w:tc>
      </w:tr>
      <w:tr>
        <w:tc>
          <w:tcPr/>
          <w:p>
            <w:pPr>
              <w:pStyle w:val="Compact"/>
            </w:pPr>
            <w:r>
              <w:t xml:space="preserve">Origine, licence, empreinte de chaque fichier</w:t>
            </w:r>
          </w:p>
        </w:tc>
        <w:tc>
          <w:tcPr/>
          <w:p>
            <w:pPr>
              <w:pStyle w:val="Compact"/>
            </w:pPr>
            <w:r>
              <w:rPr>
                <w:rStyle w:val="VerbatimChar"/>
              </w:rPr>
              <w:t xml:space="preserve">data/manifest.yaml</w:t>
            </w:r>
          </w:p>
        </w:tc>
      </w:tr>
      <w:tr>
        <w:tc>
          <w:tcPr/>
          <w:p>
            <w:pPr>
              <w:pStyle w:val="Compact"/>
            </w:pPr>
            <w:r>
              <w:t xml:space="preserve">Prévisions date par date</w:t>
            </w:r>
          </w:p>
        </w:tc>
        <w:tc>
          <w:tcPr/>
          <w:p>
            <w:pPr>
              <w:pStyle w:val="Compact"/>
            </w:pPr>
            <w:r>
              <w:rPr>
                <w:rStyle w:val="VerbatimChar"/>
              </w:rPr>
              <w:t xml:space="preserve">reports/forecasts/</w:t>
            </w:r>
          </w:p>
        </w:tc>
      </w:tr>
      <w:tr>
        <w:tc>
          <w:tcPr/>
          <w:p>
            <w:pPr>
              <w:pStyle w:val="Compact"/>
            </w:pPr>
            <w:r>
              <w:t xml:space="preserve">Métriques, tests, recommandations</w:t>
            </w:r>
          </w:p>
        </w:tc>
        <w:tc>
          <w:tcPr/>
          <w:p>
            <w:pPr>
              <w:pStyle w:val="Compact"/>
            </w:pPr>
            <w:r>
              <w:rPr>
                <w:rStyle w:val="VerbatimChar"/>
              </w:rPr>
              <w:t xml:space="preserve">reports/</w:t>
            </w:r>
          </w:p>
        </w:tc>
      </w:tr>
      <w:tr>
        <w:tc>
          <w:tcPr/>
          <w:p>
            <w:pPr>
              <w:pStyle w:val="Compact"/>
            </w:pPr>
            <w:r>
              <w:t xml:space="preserve">Modèles et version en production</w:t>
            </w:r>
          </w:p>
        </w:tc>
        <w:tc>
          <w:tcPr/>
          <w:p>
            <w:pPr>
              <w:pStyle w:val="Compact"/>
            </w:pPr>
            <w:r>
              <w:rPr>
                <w:rStyle w:val="VerbatimChar"/>
              </w:rPr>
              <w:t xml:space="preserve">models/registry/</w:t>
            </w:r>
          </w:p>
        </w:tc>
      </w:tr>
    </w:tbl>
    <w:bookmarkEnd w:id="68"/>
    <w:bookmarkStart w:id="69" w:name="pratiques-appliquées"/>
    <w:p>
      <w:pPr>
        <w:pStyle w:val="Heading2"/>
      </w:pPr>
      <w:r>
        <w:t xml:space="preserve">8.2 Pratiques appliquées</w:t>
      </w:r>
    </w:p>
    <w:p>
      <w:pPr>
        <w:pStyle w:val="Compact"/>
        <w:numPr>
          <w:ilvl w:val="0"/>
          <w:numId w:val="1004"/>
        </w:numPr>
      </w:pPr>
      <w:r>
        <w:rPr>
          <w:b/>
          <w:bCs/>
        </w:rPr>
        <w:t xml:space="preserve">Reproductibilité.</w:t>
      </w:r>
      <w:r>
        <w:t xml:space="preserve"> </w:t>
      </w:r>
      <w:r>
        <w:t xml:space="preserve">Graine fixée, configuration hors du code, cache brut jamais réécrit, reprise après interruption.</w:t>
      </w:r>
    </w:p>
    <w:p>
      <w:pPr>
        <w:pStyle w:val="Compact"/>
        <w:numPr>
          <w:ilvl w:val="0"/>
          <w:numId w:val="1004"/>
        </w:numPr>
      </w:pPr>
      <w:r>
        <w:rPr>
          <w:b/>
          <w:bCs/>
        </w:rPr>
        <w:t xml:space="preserve">Contrats de données.</w:t>
      </w:r>
      <w:r>
        <w:t xml:space="preserve"> </w:t>
      </w:r>
      <w:r>
        <w:t xml:space="preserve">Un schéma Pandera par table ; une table invalide n’est jamais écrite.</w:t>
      </w:r>
    </w:p>
    <w:p>
      <w:pPr>
        <w:pStyle w:val="Compact"/>
        <w:numPr>
          <w:ilvl w:val="0"/>
          <w:numId w:val="1004"/>
        </w:numPr>
      </w:pPr>
      <w:r>
        <w:rPr>
          <w:b/>
          <w:bCs/>
        </w:rPr>
        <w:t xml:space="preserve">Tests.</w:t>
      </w:r>
      <w:r>
        <w:t xml:space="preserve"> </w:t>
      </w:r>
      <w:r>
        <w:t xml:space="preserve">Données, anti-fuite temporelle, tests statistiques comparés à R, économie, registre, API, non-régression des métriques.</w:t>
      </w:r>
    </w:p>
    <w:p>
      <w:pPr>
        <w:pStyle w:val="Compact"/>
        <w:numPr>
          <w:ilvl w:val="0"/>
          <w:numId w:val="1004"/>
        </w:numPr>
      </w:pPr>
      <w:r>
        <w:rPr>
          <w:b/>
          <w:bCs/>
        </w:rPr>
        <w:t xml:space="preserve">Suivi d’expériences.</w:t>
      </w:r>
      <w:r>
        <w:t xml:space="preserve"> </w:t>
      </w:r>
      <w:r>
        <w:t xml:space="preserve">Chaque version de modèle est journalisée dans MLflow avec ses paramètres, ses métriques, le commit et la graine.</w:t>
      </w:r>
    </w:p>
    <w:p>
      <w:pPr>
        <w:pStyle w:val="Compact"/>
        <w:numPr>
          <w:ilvl w:val="0"/>
          <w:numId w:val="1004"/>
        </w:numPr>
      </w:pPr>
      <w:r>
        <w:rPr>
          <w:b/>
          <w:bCs/>
        </w:rPr>
        <w:t xml:space="preserve">Registre et promotion.</w:t>
      </w:r>
      <w:r>
        <w:t xml:space="preserve"> </w:t>
      </w:r>
      <w:r>
        <w:t xml:space="preserve">Un modèle ne passe en production que s’il bat la climatologie</w:t>
      </w:r>
      <w:r>
        <w:t xml:space="preserve"> </w:t>
      </w:r>
      <w:r>
        <w:rPr>
          <w:b/>
          <w:bCs/>
        </w:rPr>
        <w:t xml:space="preserve">et</w:t>
      </w:r>
      <w:r>
        <w:t xml:space="preserve"> </w:t>
      </w:r>
      <w:r>
        <w:t xml:space="preserve">la version en place, sur les mêmes</w:t>
      </w:r>
      <w:r>
        <w:t xml:space="preserve"> </w:t>
      </w:r>
      <w:r>
        <w:t xml:space="preserve">dates de test. Le retour arrière tient en une commande. L’empreinte SHA256 est vérifiée à chaque chargement.</w:t>
      </w:r>
    </w:p>
    <w:p>
      <w:pPr>
        <w:pStyle w:val="Compact"/>
        <w:numPr>
          <w:ilvl w:val="0"/>
          <w:numId w:val="1004"/>
        </w:numPr>
      </w:pPr>
      <w:r>
        <w:rPr>
          <w:b/>
          <w:bCs/>
        </w:rPr>
        <w:t xml:space="preserve">Service.</w:t>
      </w:r>
      <w:r>
        <w:t xml:space="preserve"> </w:t>
      </w:r>
      <w:r>
        <w:t xml:space="preserve">Une API versionnée (</w:t>
      </w:r>
      <w:r>
        <w:rPr>
          <w:rStyle w:val="VerbatimChar"/>
        </w:rPr>
        <w:t xml:space="preserve">/v1</w:t>
      </w:r>
      <w:r>
        <w:t xml:space="preserve">) renvoie les prévisions avec leur intervalle et journalise chaque requête.</w:t>
      </w:r>
    </w:p>
    <w:bookmarkEnd w:id="69"/>
    <w:bookmarkStart w:id="70" w:name="registre"/>
    <w:p>
      <w:pPr>
        <w:pStyle w:val="Heading2"/>
      </w:pPr>
      <w:r>
        <w:t xml:space="preserve">8.3 Registre</w:t>
      </w:r>
    </w:p>
    <w:p>
      <w:pPr>
        <w:pStyle w:val="TableCaption"/>
      </w:pPr>
      <w:r>
        <w:t xml:space="preserve">Versions enregistrées.</w:t>
      </w:r>
    </w:p>
    <w:tbl>
      <w:tblPr>
        <w:tblStyle w:val="Table"/>
        <w:tblW w:type="pct" w:w="5000"/>
        <w:tblLayout w:type="fixed"/>
        <w:tblLook w:firstRow="1" w:lastRow="0" w:firstColumn="0" w:lastColumn="0" w:noHBand="0" w:noVBand="0" w:val="0020"/>
        <w:tblCaption w:val="Versions enregistrées."/>
      </w:tblPr>
      <w:tblGrid>
        <w:gridCol w:w="1320"/>
        <w:gridCol w:w="1320"/>
        <w:gridCol w:w="1320"/>
        <w:gridCol w:w="1320"/>
        <w:gridCol w:w="1320"/>
        <w:gridCol w:w="1320"/>
      </w:tblGrid>
      <w:tr>
        <w:trPr>
          <w:tblHeader w:val="on"/>
        </w:trPr>
        <w:tc>
          <w:tcPr/>
          <w:p>
            <w:pPr>
              <w:pStyle w:val="Compact"/>
            </w:pPr>
            <w:r>
              <w:t xml:space="preserve">Modèle</w:t>
            </w:r>
          </w:p>
        </w:tc>
        <w:tc>
          <w:tcPr/>
          <w:p>
            <w:pPr>
              <w:pStyle w:val="Compact"/>
            </w:pPr>
            <w:r>
              <w:t xml:space="preserve">Version</w:t>
            </w:r>
          </w:p>
        </w:tc>
        <w:tc>
          <w:tcPr/>
          <w:p>
            <w:pPr>
              <w:pStyle w:val="Compact"/>
            </w:pPr>
            <w:r>
              <w:t xml:space="preserve">RMSE moyen</w:t>
            </w:r>
          </w:p>
        </w:tc>
        <w:tc>
          <w:tcPr/>
          <w:p>
            <w:pPr>
              <w:pStyle w:val="Compact"/>
            </w:pPr>
            <w:r>
              <w:t xml:space="preserve">RMSE climatologie</w:t>
            </w:r>
          </w:p>
        </w:tc>
        <w:tc>
          <w:tcPr/>
          <w:p>
            <w:pPr>
              <w:pStyle w:val="Compact"/>
            </w:pPr>
            <w:r>
              <w:t xml:space="preserve">Villes gagnées</w:t>
            </w:r>
          </w:p>
        </w:tc>
        <w:tc>
          <w:tcPr/>
          <w:p>
            <w:pPr>
              <w:pStyle w:val="Compact"/>
            </w:pPr>
            <w:r>
              <w:t xml:space="preserve">Statut</w:t>
            </w:r>
          </w:p>
        </w:tc>
      </w:tr>
      <w:tr>
        <w:tc>
          <w:tcPr/>
          <w:p>
            <w:pPr>
              <w:pStyle w:val="Compact"/>
            </w:pPr>
            <w:r>
              <w:t xml:space="preserve">AR(1) + Fourier</w:t>
            </w:r>
          </w:p>
        </w:tc>
        <w:tc>
          <w:tcPr/>
          <w:p>
            <w:pPr>
              <w:pStyle w:val="Compact"/>
            </w:pPr>
            <w:r>
              <w:t xml:space="preserve">1.0.0</w:t>
            </w:r>
          </w:p>
        </w:tc>
        <w:tc>
          <w:tcPr/>
          <w:p>
            <w:pPr>
              <w:pStyle w:val="Compact"/>
            </w:pPr>
            <w:r>
              <w:t xml:space="preserve">1,1777</w:t>
            </w:r>
          </w:p>
        </w:tc>
        <w:tc>
          <w:tcPr/>
          <w:p>
            <w:pPr>
              <w:pStyle w:val="Compact"/>
            </w:pPr>
            <w:r>
              <w:t xml:space="preserve">1,1934</w:t>
            </w:r>
          </w:p>
        </w:tc>
        <w:tc>
          <w:tcPr/>
          <w:p>
            <w:pPr>
              <w:pStyle w:val="Compact"/>
            </w:pPr>
            <w:r>
              <w:t xml:space="preserve">30</w:t>
            </w:r>
          </w:p>
        </w:tc>
        <w:tc>
          <w:tcPr/>
          <w:p>
            <w:pPr>
              <w:pStyle w:val="Compact"/>
            </w:pPr>
            <w:r>
              <w:t xml:space="preserve">enregistré</w:t>
            </w:r>
          </w:p>
        </w:tc>
      </w:tr>
      <w:tr>
        <w:tc>
          <w:tcPr/>
          <w:p>
            <w:pPr>
              <w:pStyle w:val="Compact"/>
            </w:pPr>
            <w:r>
              <w:t xml:space="preserve">LSTM global</w:t>
            </w:r>
          </w:p>
        </w:tc>
        <w:tc>
          <w:tcPr/>
          <w:p>
            <w:pPr>
              <w:pStyle w:val="Compact"/>
            </w:pPr>
            <w:r>
              <w:t xml:space="preserve">1.0.0</w:t>
            </w:r>
          </w:p>
        </w:tc>
        <w:tc>
          <w:tcPr/>
          <w:p>
            <w:pPr>
              <w:pStyle w:val="Compact"/>
            </w:pPr>
            <w:r>
              <w:t xml:space="preserve">1,1674</w:t>
            </w:r>
          </w:p>
        </w:tc>
        <w:tc>
          <w:tcPr/>
          <w:p>
            <w:pPr>
              <w:pStyle w:val="Compact"/>
            </w:pPr>
            <w:r>
              <w:t xml:space="preserve">1,1934</w:t>
            </w:r>
          </w:p>
        </w:tc>
        <w:tc>
          <w:tcPr/>
          <w:p>
            <w:pPr>
              <w:pStyle w:val="Compact"/>
            </w:pPr>
            <w:r>
              <w:t xml:space="preserve">30</w:t>
            </w:r>
          </w:p>
        </w:tc>
        <w:tc>
          <w:tcPr/>
          <w:p>
            <w:pPr>
              <w:pStyle w:val="Compact"/>
            </w:pPr>
            <w:r>
              <w:t xml:space="preserve">production</w:t>
            </w:r>
          </w:p>
        </w:tc>
      </w:tr>
    </w:tbl>
    <w:p>
      <w:pPr>
        <w:pStyle w:val="BodyText"/>
      </w:pPr>
      <w:r>
        <w:t xml:space="preserve">Le modèle en production est</w:t>
      </w:r>
      <w:r>
        <w:t xml:space="preserve"> </w:t>
      </w:r>
      <w:r>
        <w:rPr>
          <w:b/>
          <w:bCs/>
        </w:rPr>
        <w:t xml:space="preserve">LSTM global</w:t>
      </w:r>
      <w:r>
        <w:t xml:space="preserve">, version 1.0.0.</w:t>
      </w:r>
    </w:p>
    <w:bookmarkEnd w:id="70"/>
    <w:bookmarkStart w:id="71" w:name="suivi"/>
    <w:p>
      <w:pPr>
        <w:pStyle w:val="Heading2"/>
      </w:pPr>
      <w:r>
        <w:t xml:space="preserve">8.4 Suivi</w:t>
      </w:r>
    </w:p>
    <w:p>
      <w:pPr>
        <w:pStyle w:val="FirstParagraph"/>
      </w:pPr>
      <w:r>
        <w:t xml:space="preserve">Entre l’apprentissage et le test, 173 couples ville-variable sont stables, 22 à surveiller et 15 en alerte (indice de stabilité de population). L’erreur du modèle en production dépasse de plus de 20 % celle de la climatologie pendant 0,2 % des jours.</w:t>
      </w:r>
      <w:r>
        <w:t xml:space="preserve"> </w:t>
      </w:r>
      <w:r>
        <w:t xml:space="preserve">La dérive est mesurée sur l’écart à la moyenne du même mois, pour ne pas confondre la saison avec un changement.</w:t>
      </w:r>
    </w:p>
    <w:bookmarkEnd w:id="71"/>
    <w:bookmarkStart w:id="72" w:name="ce-qui-nest-pas-fait"/>
    <w:p>
      <w:pPr>
        <w:pStyle w:val="Heading2"/>
      </w:pPr>
      <w:r>
        <w:t xml:space="preserve">8.5 Ce qui n’est pas fait</w:t>
      </w:r>
    </w:p>
    <w:p>
      <w:pPr>
        <w:pStyle w:val="Compact"/>
        <w:numPr>
          <w:ilvl w:val="0"/>
          <w:numId w:val="1005"/>
        </w:numPr>
      </w:pPr>
      <w:r>
        <w:rPr>
          <w:b/>
          <w:bCs/>
        </w:rPr>
        <w:t xml:space="preserve">Tout est local.</w:t>
      </w:r>
      <w:r>
        <w:t xml:space="preserve"> </w:t>
      </w:r>
      <w:r>
        <w:t xml:space="preserve">Ni stockage distant, ni déploiement dans le nuage, ni réentraînement automatique.</w:t>
      </w:r>
    </w:p>
    <w:p>
      <w:pPr>
        <w:pStyle w:val="Compact"/>
        <w:numPr>
          <w:ilvl w:val="0"/>
          <w:numId w:val="1005"/>
        </w:numPr>
      </w:pPr>
      <w:r>
        <w:rPr>
          <w:b/>
          <w:bCs/>
        </w:rPr>
        <w:t xml:space="preserve">DVC.</w:t>
      </w:r>
      <w:r>
        <w:t xml:space="preserve"> </w:t>
      </w:r>
      <w:r>
        <w:t xml:space="preserve">Le pipeline est décrit dans</w:t>
      </w:r>
      <w:r>
        <w:t xml:space="preserve"> </w:t>
      </w:r>
      <w:r>
        <w:rPr>
          <w:rStyle w:val="VerbatimChar"/>
        </w:rPr>
        <w:t xml:space="preserve">dvc.yaml</w:t>
      </w:r>
      <w:r>
        <w:t xml:space="preserve">, mais DVC n’est pas installé sur la machine :</w:t>
      </w:r>
      <w:r>
        <w:t xml:space="preserve"> </w:t>
      </w:r>
      <w:r>
        <w:rPr>
          <w:rStyle w:val="VerbatimChar"/>
        </w:rPr>
        <w:t xml:space="preserve">dvc repro</w:t>
      </w:r>
      <w:r>
        <w:t xml:space="preserve"> </w:t>
      </w:r>
      <w:r>
        <w:t xml:space="preserve">n’a pas été exécuté.</w:t>
      </w:r>
    </w:p>
    <w:p>
      <w:pPr>
        <w:pStyle w:val="Compact"/>
        <w:numPr>
          <w:ilvl w:val="0"/>
          <w:numId w:val="1005"/>
        </w:numPr>
      </w:pPr>
      <w:r>
        <w:rPr>
          <w:b/>
          <w:bCs/>
        </w:rPr>
        <w:t xml:space="preserve">Docker et intégration continue.</w:t>
      </w:r>
      <w:r>
        <w:t xml:space="preserve"> </w:t>
      </w:r>
      <w:r>
        <w:t xml:space="preserve">Les fichiers de la v2 sont écrits (</w:t>
      </w:r>
      <w:r>
        <w:rPr>
          <w:rStyle w:val="VerbatimChar"/>
        </w:rPr>
        <w:t xml:space="preserve">infra/</w:t>
      </w:r>
      <w:r>
        <w:t xml:space="preserve">,</w:t>
      </w:r>
      <w:r>
        <w:t xml:space="preserve"> </w:t>
      </w:r>
      <w:r>
        <w:rPr>
          <w:rStyle w:val="VerbatimChar"/>
        </w:rPr>
        <w:t xml:space="preserve">.github/workflows/</w:t>
      </w:r>
      <w:r>
        <w:t xml:space="preserve">) ; l’image n’a pas été construite</w:t>
      </w:r>
      <w:r>
        <w:t xml:space="preserve"> </w:t>
      </w:r>
      <w:r>
        <w:t xml:space="preserve">et la chaîne d’intégration n’a pas tourné.</w:t>
      </w:r>
    </w:p>
    <w:p>
      <w:pPr>
        <w:pStyle w:val="Compact"/>
        <w:numPr>
          <w:ilvl w:val="0"/>
          <w:numId w:val="1005"/>
        </w:numPr>
      </w:pPr>
      <w:r>
        <w:rPr>
          <w:b/>
          <w:bCs/>
        </w:rPr>
        <w:t xml:space="preserve">Python.</w:t>
      </w:r>
      <w:r>
        <w:t xml:space="preserve"> </w:t>
      </w:r>
      <w:r>
        <w:t xml:space="preserve">Le projet déclare Python 3.12 ou plus ; les calculs ont été faits avec Python 3.14, seule version installée.</w:t>
      </w:r>
    </w:p>
    <w:p>
      <w:pPr>
        <w:pStyle w:val="Compact"/>
        <w:numPr>
          <w:ilvl w:val="0"/>
          <w:numId w:val="1005"/>
        </w:numPr>
      </w:pPr>
      <w:r>
        <w:rPr>
          <w:b/>
          <w:bCs/>
        </w:rPr>
        <w:t xml:space="preserve">Suivi.</w:t>
      </w:r>
      <w:r>
        <w:t xml:space="preserve"> </w:t>
      </w:r>
      <w:r>
        <w:t xml:space="preserve">Les statistiques de dérive sont calculées avec scipy, Evidently n’étant pas installé ; aucune alerte n’est envoyée.</w:t>
      </w:r>
    </w:p>
    <w:p>
      <w:r>
        <w:br w:type="page"/>
      </w:r>
    </w:p>
    <w:bookmarkEnd w:id="72"/>
    <w:bookmarkEnd w:id="73"/>
    <w:bookmarkStart w:id="77" w:name="ia-générative-et-llm"/>
    <w:p>
      <w:pPr>
        <w:pStyle w:val="Heading1"/>
      </w:pPr>
      <w:r>
        <w:t xml:space="preserve">9. IA générative et LLM</w:t>
      </w:r>
    </w:p>
    <w:bookmarkStart w:id="74" w:name="protocole"/>
    <w:p>
      <w:pPr>
        <w:pStyle w:val="Heading2"/>
      </w:pPr>
      <w:r>
        <w:t xml:space="preserve">9.1 Protocole</w:t>
      </w:r>
    </w:p>
    <w:p>
      <w:pPr>
        <w:pStyle w:val="Compact"/>
        <w:numPr>
          <w:ilvl w:val="0"/>
          <w:numId w:val="1006"/>
        </w:numPr>
      </w:pPr>
      <w:r>
        <w:rPr>
          <w:b/>
          <w:bCs/>
        </w:rPr>
        <w:t xml:space="preserve">Les chiffres d’abord.</w:t>
      </w:r>
      <w:r>
        <w:t xml:space="preserve"> </w:t>
      </w:r>
      <w:r>
        <w:t xml:space="preserve">Les statistiques fournies au LLM sont produites par le code (</w:t>
      </w:r>
      <w:r>
        <w:rPr>
          <w:rStyle w:val="VerbatimChar"/>
        </w:rPr>
        <w:t xml:space="preserve">reports/exploration_stats.csv</w:t>
      </w:r>
      <w:r>
        <w:t xml:space="preserve">,</w:t>
      </w:r>
      <w:r>
        <w:t xml:space="preserve"> </w:t>
      </w:r>
      <w:r>
        <w:rPr>
          <w:rStyle w:val="VerbatimChar"/>
        </w:rPr>
        <w:t xml:space="preserve">docs/llm/statistiques_pour_llm.md</w:t>
      </w:r>
      <w:r>
        <w:t xml:space="preserve">) : moyenne, variance, skewness, kurtosis, tests ADF et KPSS, erreurs des modèles.</w:t>
      </w:r>
    </w:p>
    <w:p>
      <w:pPr>
        <w:pStyle w:val="Compact"/>
        <w:numPr>
          <w:ilvl w:val="0"/>
          <w:numId w:val="1006"/>
        </w:numPr>
      </w:pPr>
      <w:r>
        <w:rPr>
          <w:b/>
          <w:bCs/>
        </w:rPr>
        <w:t xml:space="preserve">L’interprétation humaine avant le LLM.</w:t>
      </w:r>
      <w:r>
        <w:t xml:space="preserve"> </w:t>
      </w:r>
      <w:r>
        <w:t xml:space="preserve">Notre propre lecture est rédigée avant d’envoyer le moindre prompt.</w:t>
      </w:r>
    </w:p>
    <w:p>
      <w:pPr>
        <w:pStyle w:val="Compact"/>
        <w:numPr>
          <w:ilvl w:val="0"/>
          <w:numId w:val="1006"/>
        </w:numPr>
      </w:pPr>
      <w:r>
        <w:rPr>
          <w:b/>
          <w:bCs/>
        </w:rPr>
        <w:t xml:space="preserve">Trois prompts.</w:t>
      </w:r>
      <w:r>
        <w:t xml:space="preserve"> </w:t>
      </w:r>
      <w:r>
        <w:t xml:space="preserve">Hypothèses de modèles ; explication pour un décideur ; recommandations de gestion, avec les limites que</w:t>
      </w:r>
      <w:r>
        <w:t xml:space="preserve"> </w:t>
      </w:r>
      <w:r>
        <w:t xml:space="preserve">le LLM formule lui-même.</w:t>
      </w:r>
    </w:p>
    <w:p>
      <w:pPr>
        <w:pStyle w:val="Compact"/>
        <w:numPr>
          <w:ilvl w:val="0"/>
          <w:numId w:val="1006"/>
        </w:numPr>
      </w:pPr>
      <w:r>
        <w:rPr>
          <w:b/>
          <w:bCs/>
        </w:rPr>
        <w:t xml:space="preserve">La comparaison.</w:t>
      </w:r>
      <w:r>
        <w:t xml:space="preserve"> </w:t>
      </w:r>
      <w:r>
        <w:t xml:space="preserve">Chaque affirmation du LLM est rangée : convergence, erreur, simplification, causalité inventée, p-value inventée.</w:t>
      </w:r>
    </w:p>
    <w:bookmarkEnd w:id="74"/>
    <w:bookmarkStart w:id="75" w:name="notre-interprétation"/>
    <w:p>
      <w:pPr>
        <w:pStyle w:val="Heading2"/>
      </w:pPr>
      <w:r>
        <w:t xml:space="preserve">9.2 Notre interprétation</w:t>
      </w:r>
    </w:p>
    <w:p>
      <w:pPr>
        <w:pStyle w:val="FirstParagraph"/>
      </w:pPr>
      <w:r>
        <w:rPr>
          <w:i/>
          <w:iCs/>
        </w:rPr>
        <w:t xml:space="preserve">Section à rédiger par le groupe, avant de solliciter le LLM (</w:t>
      </w:r>
      <w:r>
        <w:rPr>
          <w:rStyle w:val="VerbatimChar"/>
          <w:i/>
          <w:iCs/>
        </w:rPr>
        <w:t xml:space="preserve">docs/llm/interpretation_experte.md</w:t>
      </w:r>
      <w:r>
        <w:rPr>
          <w:i/>
          <w:iCs/>
        </w:rPr>
        <w:t xml:space="preserve">). Elle n’est volontairement pas rédigée par un outil : le barème note la capacité à repérer les erreurs du LLM.</w:t>
      </w:r>
    </w:p>
    <w:bookmarkEnd w:id="75"/>
    <w:bookmarkStart w:id="76" w:name="comparaison-avec-le-llm"/>
    <w:p>
      <w:pPr>
        <w:pStyle w:val="Heading2"/>
      </w:pPr>
      <w:r>
        <w:t xml:space="preserve">9.3 Comparaison avec le LLM</w:t>
      </w:r>
    </w:p>
    <w:p>
      <w:pPr>
        <w:pStyle w:val="FirstParagraph"/>
      </w:pPr>
      <w:r>
        <w:rPr>
          <w:i/>
          <w:iCs/>
        </w:rPr>
        <w:t xml:space="preserve">Tableau à compléter par le groupe (</w:t>
      </w:r>
      <w:r>
        <w:rPr>
          <w:rStyle w:val="VerbatimChar"/>
          <w:i/>
          <w:iCs/>
        </w:rPr>
        <w:t xml:space="preserve">docs/llm/comparaison_humain_llm.md</w:t>
      </w:r>
      <w:r>
        <w:rPr>
          <w:i/>
          <w:iCs/>
        </w:rPr>
        <w:t xml:space="preserve">) une fois les trois réponses obtenues.</w:t>
      </w:r>
    </w:p>
    <w:p>
      <w:pPr>
        <w:pStyle w:val="BodyText"/>
      </w:pPr>
      <w:r>
        <w:rPr>
          <w:b/>
          <w:bCs/>
        </w:rPr>
        <w:t xml:space="preserve">Première étude.</w:t>
      </w:r>
      <w:r>
        <w:t xml:space="preserve"> </w:t>
      </w:r>
      <w:r>
        <w:t xml:space="preserve">La section équivalente de l’étude sur 9 villes (protocole, trois prompts, réponses intégrales, comparaison) figure dans le rapport historique</w:t>
      </w:r>
      <w:r>
        <w:t xml:space="preserve"> </w:t>
      </w:r>
      <w:r>
        <w:rPr>
          <w:rStyle w:val="VerbatimChar"/>
        </w:rPr>
        <w:t xml:space="preserve">rapport/</w:t>
      </w:r>
      <w:r>
        <w:t xml:space="preserve"> </w:t>
      </w:r>
      <w:r>
        <w:t xml:space="preserve">et dans le dossier</w:t>
      </w:r>
      <w:r>
        <w:t xml:space="preserve"> </w:t>
      </w:r>
      <w:r>
        <w:rPr>
          <w:rStyle w:val="VerbatimChar"/>
        </w:rPr>
        <w:t xml:space="preserve">llm/</w:t>
      </w:r>
      <w:r>
        <w:t xml:space="preserve">.</w:t>
      </w:r>
    </w:p>
    <w:p>
      <w:r>
        <w:br w:type="page"/>
      </w:r>
    </w:p>
    <w:bookmarkEnd w:id="76"/>
    <w:bookmarkEnd w:id="77"/>
    <w:bookmarkStart w:id="92" w:name="prévision-et-évaluation"/>
    <w:p>
      <w:pPr>
        <w:pStyle w:val="Heading1"/>
      </w:pPr>
      <w:r>
        <w:t xml:space="preserve">10. Prévision et évaluation</w:t>
      </w:r>
    </w:p>
    <w:bookmarkStart w:id="78" w:name="protocole-1"/>
    <w:p>
      <w:pPr>
        <w:pStyle w:val="Heading2"/>
      </w:pPr>
      <w:r>
        <w:t xml:space="preserve">10.1 Protocole</w:t>
      </w:r>
    </w:p>
    <w:p>
      <w:pPr>
        <w:pStyle w:val="FirstParagraph"/>
      </w:pPr>
      <w:r>
        <w:t xml:space="preserve">Depuis chacune des 688 origines du test, chaque modèle prévoit les jours J+1 à J+7</w:t>
      </w:r>
      <w:r>
        <w:t xml:space="preserve"> </w:t>
      </w:r>
      <w:r>
        <w:t xml:space="preserve">avec les seules observations disponibles à l’origine.</w:t>
      </w:r>
      <w:r>
        <w:t xml:space="preserve"> </w:t>
      </w:r>
      <w:r>
        <w:rPr>
          <w:b/>
          <w:bCs/>
        </w:rPr>
        <w:t xml:space="preserve">Chaque origine est évaluée</w:t>
      </w:r>
      <w:r>
        <w:t xml:space="preserve"> </w:t>
      </w:r>
      <w:r>
        <w:t xml:space="preserve">; les paramètres sont réestimés tous les</w:t>
      </w:r>
      <w:r>
        <w:t xml:space="preserve"> </w:t>
      </w:r>
      <w:r>
        <w:t xml:space="preserve">30 jours. Deux références : la persistance (demain comme aujourd’hui) et la climatologie</w:t>
      </w:r>
      <w:r>
        <w:t xml:space="preserve"> </w:t>
      </w:r>
      <w:r>
        <w:t xml:space="preserve">(normale saisonnière de l’apprentissage, lissée sur 31 jours).</w:t>
      </w:r>
    </w:p>
    <w:bookmarkEnd w:id="78"/>
    <w:bookmarkStart w:id="85" w:name="tableau-unique"/>
    <w:p>
      <w:pPr>
        <w:pStyle w:val="Heading2"/>
      </w:pPr>
      <w:r>
        <w:t xml:space="preserve">10.2 Tableau unique</w:t>
      </w:r>
    </w:p>
    <w:p>
      <w:pPr>
        <w:pStyle w:val="TableCaption"/>
      </w:pPr>
      <w:r>
        <w:t xml:space="preserve">Tous les modèles, moyenne de 30 villes, technologie crystSi (kWh/kWc). « Mieux » : villes où le test de Diebold-Mariano conclut que le modèle bat la climatologie.</w:t>
      </w:r>
    </w:p>
    <w:tbl>
      <w:tblPr>
        <w:tblStyle w:val="Table"/>
        <w:tblW w:type="pct" w:w="5000"/>
        <w:tblLayout w:type="fixed"/>
        <w:tblLook w:firstRow="1" w:lastRow="0" w:firstColumn="0" w:lastColumn="0" w:noHBand="0" w:noVBand="0" w:val="0020"/>
        <w:tblCaption w:val="Tous les modèles, moyenne de 30 villes, technologie crystSi (kWh/kWc). « Mieux » : villes où le test de Diebold-Mariano conclut que le modèle bat la climatologie."/>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Modèle</w:t>
            </w:r>
          </w:p>
        </w:tc>
        <w:tc>
          <w:tcPr/>
          <w:p>
            <w:pPr>
              <w:pStyle w:val="Compact"/>
            </w:pPr>
            <w:r>
              <w:t xml:space="preserve">Scénario</w:t>
            </w:r>
          </w:p>
        </w:tc>
        <w:tc>
          <w:tcPr/>
          <w:p>
            <w:pPr>
              <w:pStyle w:val="Compact"/>
            </w:pPr>
            <w:r>
              <w:t xml:space="preserve">MSE</w:t>
            </w:r>
          </w:p>
        </w:tc>
        <w:tc>
          <w:tcPr/>
          <w:p>
            <w:pPr>
              <w:pStyle w:val="Compact"/>
            </w:pPr>
            <w:r>
              <w:t xml:space="preserve">RMSE</w:t>
            </w:r>
          </w:p>
        </w:tc>
        <w:tc>
          <w:tcPr/>
          <w:p>
            <w:pPr>
              <w:pStyle w:val="Compact"/>
            </w:pPr>
            <w:r>
              <w:t xml:space="preserve">MAE</w:t>
            </w:r>
          </w:p>
        </w:tc>
        <w:tc>
          <w:tcPr/>
          <w:p>
            <w:pPr>
              <w:pStyle w:val="Compact"/>
            </w:pPr>
            <w:r>
              <w:t xml:space="preserve">MAPE (%)</w:t>
            </w:r>
          </w:p>
        </w:tc>
        <w:tc>
          <w:tcPr/>
          <w:p>
            <w:pPr>
              <w:pStyle w:val="Compact"/>
            </w:pPr>
            <w:r>
              <w:t xml:space="preserve">WAPE (%)</w:t>
            </w:r>
          </w:p>
        </w:tc>
        <w:tc>
          <w:tcPr/>
          <w:p>
            <w:pPr>
              <w:pStyle w:val="Compact"/>
            </w:pPr>
            <w:r>
              <w:t xml:space="preserve">RMSE J+1</w:t>
            </w:r>
          </w:p>
        </w:tc>
        <w:tc>
          <w:tcPr/>
          <w:p>
            <w:pPr>
              <w:pStyle w:val="Compact"/>
            </w:pPr>
            <w:r>
              <w:t xml:space="preserve">RMSE J+7</w:t>
            </w:r>
          </w:p>
        </w:tc>
        <w:tc>
          <w:tcPr/>
          <w:p>
            <w:pPr>
              <w:pStyle w:val="Compact"/>
            </w:pPr>
            <w:r>
              <w:t xml:space="preserve">IC 95 % (%)</w:t>
            </w:r>
          </w:p>
        </w:tc>
        <w:tc>
          <w:tcPr/>
          <w:p>
            <w:pPr>
              <w:pStyle w:val="Compact"/>
            </w:pPr>
            <w:r>
              <w:t xml:space="preserve">Mieux à J+1</w:t>
            </w:r>
          </w:p>
        </w:tc>
        <w:tc>
          <w:tcPr/>
          <w:p>
            <w:pPr>
              <w:pStyle w:val="Compact"/>
            </w:pPr>
            <w:r>
              <w:t xml:space="preserve">Mieux à J+7</w:t>
            </w:r>
          </w:p>
        </w:tc>
      </w:tr>
      <w:tr>
        <w:tc>
          <w:tcPr/>
          <w:p>
            <w:pPr>
              <w:pStyle w:val="Compact"/>
            </w:pPr>
            <w:r>
              <w:t xml:space="preserve">LSTM global</w:t>
            </w:r>
          </w:p>
        </w:tc>
        <w:tc>
          <w:tcPr/>
          <w:p>
            <w:pPr>
              <w:pStyle w:val="Compact"/>
            </w:pPr>
            <w:r>
              <w:t xml:space="preserve">ex ante</w:t>
            </w:r>
          </w:p>
        </w:tc>
        <w:tc>
          <w:tcPr/>
          <w:p>
            <w:pPr>
              <w:pStyle w:val="Compact"/>
            </w:pPr>
            <w:r>
              <w:t xml:space="preserve">1,410</w:t>
            </w:r>
          </w:p>
        </w:tc>
        <w:tc>
          <w:tcPr/>
          <w:p>
            <w:pPr>
              <w:pStyle w:val="Compact"/>
            </w:pPr>
            <w:r>
              <w:t xml:space="preserve">1,1674</w:t>
            </w:r>
          </w:p>
        </w:tc>
        <w:tc>
          <w:tcPr/>
          <w:p>
            <w:pPr>
              <w:pStyle w:val="Compact"/>
            </w:pPr>
            <w:r>
              <w:t xml:space="preserve">0,9097</w:t>
            </w:r>
          </w:p>
        </w:tc>
        <w:tc>
          <w:tcPr/>
          <w:p>
            <w:pPr>
              <w:pStyle w:val="Compact"/>
            </w:pPr>
            <w:r>
              <w:t xml:space="preserve">44,3</w:t>
            </w:r>
          </w:p>
        </w:tc>
        <w:tc>
          <w:tcPr/>
          <w:p>
            <w:pPr>
              <w:pStyle w:val="Compact"/>
            </w:pPr>
            <w:r>
              <w:t xml:space="preserve">22,3</w:t>
            </w:r>
          </w:p>
        </w:tc>
        <w:tc>
          <w:tcPr/>
          <w:p>
            <w:pPr>
              <w:pStyle w:val="Compact"/>
            </w:pPr>
            <w:r>
              <w:t xml:space="preserve">1,078</w:t>
            </w:r>
          </w:p>
        </w:tc>
        <w:tc>
          <w:tcPr/>
          <w:p>
            <w:pPr>
              <w:pStyle w:val="Compact"/>
            </w:pPr>
            <w:r>
              <w:t xml:space="preserve">1,191</w:t>
            </w:r>
          </w:p>
        </w:tc>
        <w:tc>
          <w:tcPr/>
          <w:p>
            <w:pPr>
              <w:pStyle w:val="Compact"/>
            </w:pPr>
            <w:r>
              <w:t xml:space="preserve">95,2</w:t>
            </w:r>
          </w:p>
        </w:tc>
        <w:tc>
          <w:tcPr/>
          <w:p>
            <w:pPr>
              <w:pStyle w:val="Compact"/>
            </w:pPr>
            <w:r>
              <w:t xml:space="preserve">29/30</w:t>
            </w:r>
          </w:p>
        </w:tc>
        <w:tc>
          <w:tcPr/>
          <w:p>
            <w:pPr>
              <w:pStyle w:val="Compact"/>
            </w:pPr>
            <w:r>
              <w:t xml:space="preserve">2/30</w:t>
            </w:r>
          </w:p>
        </w:tc>
      </w:tr>
      <w:tr>
        <w:tc>
          <w:tcPr/>
          <w:p>
            <w:pPr>
              <w:pStyle w:val="Compact"/>
            </w:pPr>
            <w:r>
              <w:t xml:space="preserve">GRU</w:t>
            </w:r>
          </w:p>
        </w:tc>
        <w:tc>
          <w:tcPr/>
          <w:p>
            <w:pPr>
              <w:pStyle w:val="Compact"/>
            </w:pPr>
            <w:r>
              <w:t xml:space="preserve">ex ante</w:t>
            </w:r>
          </w:p>
        </w:tc>
        <w:tc>
          <w:tcPr/>
          <w:p>
            <w:pPr>
              <w:pStyle w:val="Compact"/>
            </w:pPr>
            <w:r>
              <w:t xml:space="preserve">1,414</w:t>
            </w:r>
          </w:p>
        </w:tc>
        <w:tc>
          <w:tcPr/>
          <w:p>
            <w:pPr>
              <w:pStyle w:val="Compact"/>
            </w:pPr>
            <w:r>
              <w:t xml:space="preserve">1,1695</w:t>
            </w:r>
          </w:p>
        </w:tc>
        <w:tc>
          <w:tcPr/>
          <w:p>
            <w:pPr>
              <w:pStyle w:val="Compact"/>
            </w:pPr>
            <w:r>
              <w:t xml:space="preserve">0,9100</w:t>
            </w:r>
          </w:p>
        </w:tc>
        <w:tc>
          <w:tcPr/>
          <w:p>
            <w:pPr>
              <w:pStyle w:val="Compact"/>
            </w:pPr>
            <w:r>
              <w:t xml:space="preserve">44,9</w:t>
            </w:r>
          </w:p>
        </w:tc>
        <w:tc>
          <w:tcPr/>
          <w:p>
            <w:pPr>
              <w:pStyle w:val="Compact"/>
            </w:pPr>
            <w:r>
              <w:t xml:space="preserve">22,3</w:t>
            </w:r>
          </w:p>
        </w:tc>
        <w:tc>
          <w:tcPr/>
          <w:p>
            <w:pPr>
              <w:pStyle w:val="Compact"/>
            </w:pPr>
            <w:r>
              <w:t xml:space="preserve">1,084</w:t>
            </w:r>
          </w:p>
        </w:tc>
        <w:tc>
          <w:tcPr/>
          <w:p>
            <w:pPr>
              <w:pStyle w:val="Compact"/>
            </w:pPr>
            <w:r>
              <w:t xml:space="preserve">1,192</w:t>
            </w:r>
          </w:p>
        </w:tc>
        <w:tc>
          <w:tcPr/>
          <w:p>
            <w:pPr>
              <w:pStyle w:val="Compact"/>
            </w:pPr>
            <w:r>
              <w:t xml:space="preserve">—</w:t>
            </w:r>
          </w:p>
        </w:tc>
        <w:tc>
          <w:tcPr/>
          <w:p>
            <w:pPr>
              <w:pStyle w:val="Compact"/>
            </w:pPr>
            <w:r>
              <w:t xml:space="preserve">30/30</w:t>
            </w:r>
          </w:p>
        </w:tc>
        <w:tc>
          <w:tcPr/>
          <w:p>
            <w:pPr>
              <w:pStyle w:val="Compact"/>
            </w:pPr>
            <w:r>
              <w:t xml:space="preserve">0/30</w:t>
            </w:r>
          </w:p>
        </w:tc>
      </w:tr>
      <w:tr>
        <w:tc>
          <w:tcPr/>
          <w:p>
            <w:pPr>
              <w:pStyle w:val="Compact"/>
            </w:pPr>
            <w:r>
              <w:t xml:space="preserve">LSTM</w:t>
            </w:r>
          </w:p>
        </w:tc>
        <w:tc>
          <w:tcPr/>
          <w:p>
            <w:pPr>
              <w:pStyle w:val="Compact"/>
            </w:pPr>
            <w:r>
              <w:t xml:space="preserve">ex ante</w:t>
            </w:r>
          </w:p>
        </w:tc>
        <w:tc>
          <w:tcPr/>
          <w:p>
            <w:pPr>
              <w:pStyle w:val="Compact"/>
            </w:pPr>
            <w:r>
              <w:t xml:space="preserve">1,414</w:t>
            </w:r>
          </w:p>
        </w:tc>
        <w:tc>
          <w:tcPr/>
          <w:p>
            <w:pPr>
              <w:pStyle w:val="Compact"/>
            </w:pPr>
            <w:r>
              <w:t xml:space="preserve">1,1696</w:t>
            </w:r>
          </w:p>
        </w:tc>
        <w:tc>
          <w:tcPr/>
          <w:p>
            <w:pPr>
              <w:pStyle w:val="Compact"/>
            </w:pPr>
            <w:r>
              <w:t xml:space="preserve">0,9116</w:t>
            </w:r>
          </w:p>
        </w:tc>
        <w:tc>
          <w:tcPr/>
          <w:p>
            <w:pPr>
              <w:pStyle w:val="Compact"/>
            </w:pPr>
            <w:r>
              <w:t xml:space="preserve">44,9</w:t>
            </w:r>
          </w:p>
        </w:tc>
        <w:tc>
          <w:tcPr/>
          <w:p>
            <w:pPr>
              <w:pStyle w:val="Compact"/>
            </w:pPr>
            <w:r>
              <w:t xml:space="preserve">22,3</w:t>
            </w:r>
          </w:p>
        </w:tc>
        <w:tc>
          <w:tcPr/>
          <w:p>
            <w:pPr>
              <w:pStyle w:val="Compact"/>
            </w:pPr>
            <w:r>
              <w:t xml:space="preserve">1,085</w:t>
            </w:r>
          </w:p>
        </w:tc>
        <w:tc>
          <w:tcPr/>
          <w:p>
            <w:pPr>
              <w:pStyle w:val="Compact"/>
            </w:pPr>
            <w:r>
              <w:t xml:space="preserve">1,194</w:t>
            </w:r>
          </w:p>
        </w:tc>
        <w:tc>
          <w:tcPr/>
          <w:p>
            <w:pPr>
              <w:pStyle w:val="Compact"/>
            </w:pPr>
            <w:r>
              <w:t xml:space="preserve">—</w:t>
            </w:r>
          </w:p>
        </w:tc>
        <w:tc>
          <w:tcPr/>
          <w:p>
            <w:pPr>
              <w:pStyle w:val="Compact"/>
            </w:pPr>
            <w:r>
              <w:t xml:space="preserve">30/30</w:t>
            </w:r>
          </w:p>
        </w:tc>
        <w:tc>
          <w:tcPr/>
          <w:p>
            <w:pPr>
              <w:pStyle w:val="Compact"/>
            </w:pPr>
            <w:r>
              <w:t xml:space="preserve">0/30</w:t>
            </w:r>
          </w:p>
        </w:tc>
      </w:tr>
      <w:tr>
        <w:tc>
          <w:tcPr/>
          <w:p>
            <w:pPr>
              <w:pStyle w:val="Compact"/>
            </w:pPr>
            <w:r>
              <w:t xml:space="preserve">XGBoost</w:t>
            </w:r>
          </w:p>
        </w:tc>
        <w:tc>
          <w:tcPr/>
          <w:p>
            <w:pPr>
              <w:pStyle w:val="Compact"/>
            </w:pPr>
            <w:r>
              <w:t xml:space="preserve">ex ante</w:t>
            </w:r>
          </w:p>
        </w:tc>
        <w:tc>
          <w:tcPr/>
          <w:p>
            <w:pPr>
              <w:pStyle w:val="Compact"/>
            </w:pPr>
            <w:r>
              <w:t xml:space="preserve">1,429</w:t>
            </w:r>
          </w:p>
        </w:tc>
        <w:tc>
          <w:tcPr/>
          <w:p>
            <w:pPr>
              <w:pStyle w:val="Compact"/>
            </w:pPr>
            <w:r>
              <w:t xml:space="preserve">1,1753</w:t>
            </w:r>
          </w:p>
        </w:tc>
        <w:tc>
          <w:tcPr/>
          <w:p>
            <w:pPr>
              <w:pStyle w:val="Compact"/>
            </w:pPr>
            <w:r>
              <w:t xml:space="preserve">0,9150</w:t>
            </w:r>
          </w:p>
        </w:tc>
        <w:tc>
          <w:tcPr/>
          <w:p>
            <w:pPr>
              <w:pStyle w:val="Compact"/>
            </w:pPr>
            <w:r>
              <w:t xml:space="preserve">44,7</w:t>
            </w:r>
          </w:p>
        </w:tc>
        <w:tc>
          <w:tcPr/>
          <w:p>
            <w:pPr>
              <w:pStyle w:val="Compact"/>
            </w:pPr>
            <w:r>
              <w:t xml:space="preserve">22,4</w:t>
            </w:r>
          </w:p>
        </w:tc>
        <w:tc>
          <w:tcPr/>
          <w:p>
            <w:pPr>
              <w:pStyle w:val="Compact"/>
            </w:pPr>
            <w:r>
              <w:t xml:space="preserve">1,076</w:t>
            </w:r>
          </w:p>
        </w:tc>
        <w:tc>
          <w:tcPr/>
          <w:p>
            <w:pPr>
              <w:pStyle w:val="Compact"/>
            </w:pPr>
            <w:r>
              <w:t xml:space="preserve">1,200</w:t>
            </w:r>
          </w:p>
        </w:tc>
        <w:tc>
          <w:tcPr/>
          <w:p>
            <w:pPr>
              <w:pStyle w:val="Compact"/>
            </w:pPr>
            <w:r>
              <w:t xml:space="preserve">—</w:t>
            </w:r>
          </w:p>
        </w:tc>
        <w:tc>
          <w:tcPr/>
          <w:p>
            <w:pPr>
              <w:pStyle w:val="Compact"/>
            </w:pPr>
            <w:r>
              <w:t xml:space="preserve">29/30</w:t>
            </w:r>
          </w:p>
        </w:tc>
        <w:tc>
          <w:tcPr/>
          <w:p>
            <w:pPr>
              <w:pStyle w:val="Compact"/>
            </w:pPr>
            <w:r>
              <w:t xml:space="preserve">0/30</w:t>
            </w:r>
          </w:p>
        </w:tc>
      </w:tr>
      <w:tr>
        <w:tc>
          <w:tcPr/>
          <w:p>
            <w:pPr>
              <w:pStyle w:val="Compact"/>
            </w:pPr>
            <w:r>
              <w:t xml:space="preserve">AR(1) + Fourier</w:t>
            </w:r>
          </w:p>
        </w:tc>
        <w:tc>
          <w:tcPr/>
          <w:p>
            <w:pPr>
              <w:pStyle w:val="Compact"/>
            </w:pPr>
            <w:r>
              <w:t xml:space="preserve">ex ante</w:t>
            </w:r>
          </w:p>
        </w:tc>
        <w:tc>
          <w:tcPr/>
          <w:p>
            <w:pPr>
              <w:pStyle w:val="Compact"/>
            </w:pPr>
            <w:r>
              <w:t xml:space="preserve">1,434</w:t>
            </w:r>
          </w:p>
        </w:tc>
        <w:tc>
          <w:tcPr/>
          <w:p>
            <w:pPr>
              <w:pStyle w:val="Compact"/>
            </w:pPr>
            <w:r>
              <w:t xml:space="preserve">1,1777</w:t>
            </w:r>
          </w:p>
        </w:tc>
        <w:tc>
          <w:tcPr/>
          <w:p>
            <w:pPr>
              <w:pStyle w:val="Compact"/>
            </w:pPr>
            <w:r>
              <w:t xml:space="preserve">0,9217</w:t>
            </w:r>
          </w:p>
        </w:tc>
        <w:tc>
          <w:tcPr/>
          <w:p>
            <w:pPr>
              <w:pStyle w:val="Compact"/>
            </w:pPr>
            <w:r>
              <w:t xml:space="preserve">44,9</w:t>
            </w:r>
          </w:p>
        </w:tc>
        <w:tc>
          <w:tcPr/>
          <w:p>
            <w:pPr>
              <w:pStyle w:val="Compact"/>
            </w:pPr>
            <w:r>
              <w:t xml:space="preserve">22,6</w:t>
            </w:r>
          </w:p>
        </w:tc>
        <w:tc>
          <w:tcPr/>
          <w:p>
            <w:pPr>
              <w:pStyle w:val="Compact"/>
            </w:pPr>
            <w:r>
              <w:t xml:space="preserve">1,113</w:t>
            </w:r>
          </w:p>
        </w:tc>
        <w:tc>
          <w:tcPr/>
          <w:p>
            <w:pPr>
              <w:pStyle w:val="Compact"/>
            </w:pPr>
            <w:r>
              <w:t xml:space="preserve">1,191</w:t>
            </w:r>
          </w:p>
        </w:tc>
        <w:tc>
          <w:tcPr/>
          <w:p>
            <w:pPr>
              <w:pStyle w:val="Compact"/>
            </w:pPr>
            <w:r>
              <w:t xml:space="preserve">95,6</w:t>
            </w:r>
          </w:p>
        </w:tc>
        <w:tc>
          <w:tcPr/>
          <w:p>
            <w:pPr>
              <w:pStyle w:val="Compact"/>
            </w:pPr>
            <w:r>
              <w:t xml:space="preserve">28/30</w:t>
            </w:r>
          </w:p>
        </w:tc>
        <w:tc>
          <w:tcPr/>
          <w:p>
            <w:pPr>
              <w:pStyle w:val="Compact"/>
            </w:pPr>
            <w:r>
              <w:t xml:space="preserve">0/30</w:t>
            </w:r>
          </w:p>
        </w:tc>
      </w:tr>
      <w:tr>
        <w:tc>
          <w:tcPr/>
          <w:p>
            <w:pPr>
              <w:pStyle w:val="Compact"/>
            </w:pPr>
            <w:r>
              <w:t xml:space="preserve">Climatologie</w:t>
            </w:r>
          </w:p>
        </w:tc>
        <w:tc>
          <w:tcPr/>
          <w:p>
            <w:pPr>
              <w:pStyle w:val="Compact"/>
            </w:pPr>
            <w:r>
              <w:t xml:space="preserve">ex ante</w:t>
            </w:r>
          </w:p>
        </w:tc>
        <w:tc>
          <w:tcPr/>
          <w:p>
            <w:pPr>
              <w:pStyle w:val="Compact"/>
            </w:pPr>
            <w:r>
              <w:t xml:space="preserve">1,474</w:t>
            </w:r>
          </w:p>
        </w:tc>
        <w:tc>
          <w:tcPr/>
          <w:p>
            <w:pPr>
              <w:pStyle w:val="Compact"/>
            </w:pPr>
            <w:r>
              <w:t xml:space="preserve">1,1934</w:t>
            </w:r>
          </w:p>
        </w:tc>
        <w:tc>
          <w:tcPr/>
          <w:p>
            <w:pPr>
              <w:pStyle w:val="Compact"/>
            </w:pPr>
            <w:r>
              <w:t xml:space="preserve">0,9390</w:t>
            </w:r>
          </w:p>
        </w:tc>
        <w:tc>
          <w:tcPr/>
          <w:p>
            <w:pPr>
              <w:pStyle w:val="Compact"/>
            </w:pPr>
            <w:r>
              <w:t xml:space="preserve">46,0</w:t>
            </w:r>
          </w:p>
        </w:tc>
        <w:tc>
          <w:tcPr/>
          <w:p>
            <w:pPr>
              <w:pStyle w:val="Compact"/>
            </w:pPr>
            <w:r>
              <w:t xml:space="preserve">23,0</w:t>
            </w:r>
          </w:p>
        </w:tc>
        <w:tc>
          <w:tcPr/>
          <w:p>
            <w:pPr>
              <w:pStyle w:val="Compact"/>
            </w:pPr>
            <w:r>
              <w:t xml:space="preserve">1,194</w:t>
            </w:r>
          </w:p>
        </w:tc>
        <w:tc>
          <w:tcPr/>
          <w:p>
            <w:pPr>
              <w:pStyle w:val="Compact"/>
            </w:pPr>
            <w:r>
              <w:t xml:space="preserve">1,193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Prophet</w:t>
            </w:r>
          </w:p>
        </w:tc>
        <w:tc>
          <w:tcPr/>
          <w:p>
            <w:pPr>
              <w:pStyle w:val="Compact"/>
            </w:pPr>
            <w:r>
              <w:t xml:space="preserve">ex ante</w:t>
            </w:r>
          </w:p>
        </w:tc>
        <w:tc>
          <w:tcPr/>
          <w:p>
            <w:pPr>
              <w:pStyle w:val="Compact"/>
            </w:pPr>
            <w:r>
              <w:t xml:space="preserve">1,478</w:t>
            </w:r>
          </w:p>
        </w:tc>
        <w:tc>
          <w:tcPr/>
          <w:p>
            <w:pPr>
              <w:pStyle w:val="Compact"/>
            </w:pPr>
            <w:r>
              <w:t xml:space="preserve">1,1952</w:t>
            </w:r>
          </w:p>
        </w:tc>
        <w:tc>
          <w:tcPr/>
          <w:p>
            <w:pPr>
              <w:pStyle w:val="Compact"/>
            </w:pPr>
            <w:r>
              <w:t xml:space="preserve">0,9341</w:t>
            </w:r>
          </w:p>
        </w:tc>
        <w:tc>
          <w:tcPr/>
          <w:p>
            <w:pPr>
              <w:pStyle w:val="Compact"/>
            </w:pPr>
            <w:r>
              <w:t xml:space="preserve">47,2</w:t>
            </w:r>
          </w:p>
        </w:tc>
        <w:tc>
          <w:tcPr/>
          <w:p>
            <w:pPr>
              <w:pStyle w:val="Compact"/>
            </w:pPr>
            <w:r>
              <w:t xml:space="preserve">22,9</w:t>
            </w:r>
          </w:p>
        </w:tc>
        <w:tc>
          <w:tcPr/>
          <w:p>
            <w:pPr>
              <w:pStyle w:val="Compact"/>
            </w:pPr>
            <w:r>
              <w:t xml:space="preserve">1,195</w:t>
            </w:r>
          </w:p>
        </w:tc>
        <w:tc>
          <w:tcPr/>
          <w:p>
            <w:pPr>
              <w:pStyle w:val="Compact"/>
            </w:pPr>
            <w:r>
              <w:t xml:space="preserve">1,195</w:t>
            </w:r>
          </w:p>
        </w:tc>
        <w:tc>
          <w:tcPr/>
          <w:p>
            <w:pPr>
              <w:pStyle w:val="Compact"/>
            </w:pPr>
            <w:r>
              <w:t xml:space="preserve">94,7</w:t>
            </w:r>
          </w:p>
        </w:tc>
        <w:tc>
          <w:tcPr/>
          <w:p>
            <w:pPr>
              <w:pStyle w:val="Compact"/>
            </w:pPr>
            <w:r>
              <w:t xml:space="preserve">0/30</w:t>
            </w:r>
          </w:p>
        </w:tc>
        <w:tc>
          <w:tcPr/>
          <w:p>
            <w:pPr>
              <w:pStyle w:val="Compact"/>
            </w:pPr>
            <w:r>
              <w:t xml:space="preserve">0/30</w:t>
            </w:r>
          </w:p>
        </w:tc>
      </w:tr>
      <w:tr>
        <w:tc>
          <w:tcPr/>
          <w:p>
            <w:pPr>
              <w:pStyle w:val="Compact"/>
            </w:pPr>
            <w:r>
              <w:t xml:space="preserve">Persistance</w:t>
            </w:r>
          </w:p>
        </w:tc>
        <w:tc>
          <w:tcPr/>
          <w:p>
            <w:pPr>
              <w:pStyle w:val="Compact"/>
            </w:pPr>
            <w:r>
              <w:t xml:space="preserve">ex ante</w:t>
            </w:r>
          </w:p>
        </w:tc>
        <w:tc>
          <w:tcPr/>
          <w:p>
            <w:pPr>
              <w:pStyle w:val="Compact"/>
            </w:pPr>
            <w:r>
              <w:t xml:space="preserve">2,522</w:t>
            </w:r>
          </w:p>
        </w:tc>
        <w:tc>
          <w:tcPr/>
          <w:p>
            <w:pPr>
              <w:pStyle w:val="Compact"/>
            </w:pPr>
            <w:r>
              <w:t xml:space="preserve">1,5617</w:t>
            </w:r>
          </w:p>
        </w:tc>
        <w:tc>
          <w:tcPr/>
          <w:p>
            <w:pPr>
              <w:pStyle w:val="Compact"/>
            </w:pPr>
            <w:r>
              <w:t xml:space="preserve">1,0926</w:t>
            </w:r>
          </w:p>
        </w:tc>
        <w:tc>
          <w:tcPr/>
          <w:p>
            <w:pPr>
              <w:pStyle w:val="Compact"/>
            </w:pPr>
            <w:r>
              <w:t xml:space="preserve">48,9</w:t>
            </w:r>
          </w:p>
        </w:tc>
        <w:tc>
          <w:tcPr/>
          <w:p>
            <w:pPr>
              <w:pStyle w:val="Compact"/>
            </w:pPr>
            <w:r>
              <w:t xml:space="preserve">26,8</w:t>
            </w:r>
          </w:p>
        </w:tc>
        <w:tc>
          <w:tcPr/>
          <w:p>
            <w:pPr>
              <w:pStyle w:val="Compact"/>
            </w:pPr>
            <w:r>
              <w:t xml:space="preserve">1,350</w:t>
            </w:r>
          </w:p>
        </w:tc>
        <w:tc>
          <w:tcPr/>
          <w:p>
            <w:pPr>
              <w:pStyle w:val="Compact"/>
            </w:pPr>
            <w:r>
              <w:t xml:space="preserve">1,617</w:t>
            </w:r>
          </w:p>
        </w:tc>
        <w:tc>
          <w:tcPr/>
          <w:p>
            <w:pPr>
              <w:pStyle w:val="Compact"/>
            </w:pPr>
            <w:r>
              <w:t xml:space="preserve">—</w:t>
            </w:r>
          </w:p>
        </w:tc>
        <w:tc>
          <w:tcPr/>
          <w:p>
            <w:pPr>
              <w:pStyle w:val="Compact"/>
            </w:pPr>
            <w:r>
              <w:t xml:space="preserve">0/30</w:t>
            </w:r>
          </w:p>
        </w:tc>
        <w:tc>
          <w:tcPr/>
          <w:p>
            <w:pPr>
              <w:pStyle w:val="Compact"/>
            </w:pPr>
            <w:r>
              <w:t xml:space="preserve">0/30</w:t>
            </w:r>
          </w:p>
        </w:tc>
      </w:tr>
      <w:tr>
        <w:tc>
          <w:tcPr/>
          <w:p>
            <w:pPr>
              <w:pStyle w:val="Compact"/>
            </w:pPr>
            <w:r>
              <w:t xml:space="preserve">XGBoost + météo</w:t>
            </w:r>
          </w:p>
        </w:tc>
        <w:tc>
          <w:tcPr/>
          <w:p>
            <w:pPr>
              <w:pStyle w:val="Compact"/>
            </w:pPr>
            <w:r>
              <w:t xml:space="preserve">ex post</w:t>
            </w:r>
          </w:p>
        </w:tc>
        <w:tc>
          <w:tcPr/>
          <w:p>
            <w:pPr>
              <w:pStyle w:val="Compact"/>
            </w:pPr>
            <w:r>
              <w:t xml:space="preserve">0,403</w:t>
            </w:r>
          </w:p>
        </w:tc>
        <w:tc>
          <w:tcPr/>
          <w:p>
            <w:pPr>
              <w:pStyle w:val="Compact"/>
            </w:pPr>
            <w:r>
              <w:t xml:space="preserve">0,6274</w:t>
            </w:r>
          </w:p>
        </w:tc>
        <w:tc>
          <w:tcPr/>
          <w:p>
            <w:pPr>
              <w:pStyle w:val="Compact"/>
            </w:pPr>
            <w:r>
              <w:t xml:space="preserve">0,4375</w:t>
            </w:r>
          </w:p>
        </w:tc>
        <w:tc>
          <w:tcPr/>
          <w:p>
            <w:pPr>
              <w:pStyle w:val="Compact"/>
            </w:pPr>
            <w:r>
              <w:t xml:space="preserve">19,0</w:t>
            </w:r>
          </w:p>
        </w:tc>
        <w:tc>
          <w:tcPr/>
          <w:p>
            <w:pPr>
              <w:pStyle w:val="Compact"/>
            </w:pPr>
            <w:r>
              <w:t xml:space="preserve">10,7</w:t>
            </w:r>
          </w:p>
        </w:tc>
        <w:tc>
          <w:tcPr/>
          <w:p>
            <w:pPr>
              <w:pStyle w:val="Compact"/>
            </w:pPr>
            <w:r>
              <w:t xml:space="preserve">0,621</w:t>
            </w:r>
          </w:p>
        </w:tc>
        <w:tc>
          <w:tcPr/>
          <w:p>
            <w:pPr>
              <w:pStyle w:val="Compact"/>
            </w:pPr>
            <w:r>
              <w:t xml:space="preserve">0,629</w:t>
            </w:r>
          </w:p>
        </w:tc>
        <w:tc>
          <w:tcPr/>
          <w:p>
            <w:pPr>
              <w:pStyle w:val="Compact"/>
            </w:pPr>
            <w:r>
              <w:t xml:space="preserve">—</w:t>
            </w:r>
          </w:p>
        </w:tc>
        <w:tc>
          <w:tcPr/>
          <w:p>
            <w:pPr>
              <w:pStyle w:val="Compact"/>
            </w:pPr>
            <w:r>
              <w:t xml:space="preserve">30/30</w:t>
            </w:r>
          </w:p>
        </w:tc>
        <w:tc>
          <w:tcPr/>
          <w:p>
            <w:pPr>
              <w:pStyle w:val="Compact"/>
            </w:pPr>
            <w:r>
              <w:t xml:space="preserve">30/30</w:t>
            </w:r>
          </w:p>
        </w:tc>
      </w:tr>
      <w:tr>
        <w:tc>
          <w:tcPr/>
          <w:p>
            <w:pPr>
              <w:pStyle w:val="Compact"/>
            </w:pPr>
            <w:r>
              <w:t xml:space="preserve">GRU + météo</w:t>
            </w:r>
          </w:p>
        </w:tc>
        <w:tc>
          <w:tcPr/>
          <w:p>
            <w:pPr>
              <w:pStyle w:val="Compact"/>
            </w:pPr>
            <w:r>
              <w:t xml:space="preserve">ex post</w:t>
            </w:r>
          </w:p>
        </w:tc>
        <w:tc>
          <w:tcPr/>
          <w:p>
            <w:pPr>
              <w:pStyle w:val="Compact"/>
            </w:pPr>
            <w:r>
              <w:t xml:space="preserve">0,509</w:t>
            </w:r>
          </w:p>
        </w:tc>
        <w:tc>
          <w:tcPr/>
          <w:p>
            <w:pPr>
              <w:pStyle w:val="Compact"/>
            </w:pPr>
            <w:r>
              <w:t xml:space="preserve">0,7062</w:t>
            </w:r>
          </w:p>
        </w:tc>
        <w:tc>
          <w:tcPr/>
          <w:p>
            <w:pPr>
              <w:pStyle w:val="Compact"/>
            </w:pPr>
            <w:r>
              <w:t xml:space="preserve">0,5368</w:t>
            </w:r>
          </w:p>
        </w:tc>
        <w:tc>
          <w:tcPr/>
          <w:p>
            <w:pPr>
              <w:pStyle w:val="Compact"/>
            </w:pPr>
            <w:r>
              <w:t xml:space="preserve">22,4</w:t>
            </w:r>
          </w:p>
        </w:tc>
        <w:tc>
          <w:tcPr/>
          <w:p>
            <w:pPr>
              <w:pStyle w:val="Compact"/>
            </w:pPr>
            <w:r>
              <w:t xml:space="preserve">13,0</w:t>
            </w:r>
          </w:p>
        </w:tc>
        <w:tc>
          <w:tcPr/>
          <w:p>
            <w:pPr>
              <w:pStyle w:val="Compact"/>
            </w:pPr>
            <w:r>
              <w:t xml:space="preserve">0,699</w:t>
            </w:r>
          </w:p>
        </w:tc>
        <w:tc>
          <w:tcPr/>
          <w:p>
            <w:pPr>
              <w:pStyle w:val="Compact"/>
            </w:pPr>
            <w:r>
              <w:t xml:space="preserve">0,718</w:t>
            </w:r>
          </w:p>
        </w:tc>
        <w:tc>
          <w:tcPr/>
          <w:p>
            <w:pPr>
              <w:pStyle w:val="Compact"/>
            </w:pPr>
            <w:r>
              <w:t xml:space="preserve">—</w:t>
            </w:r>
          </w:p>
        </w:tc>
        <w:tc>
          <w:tcPr/>
          <w:p>
            <w:pPr>
              <w:pStyle w:val="Compact"/>
            </w:pPr>
            <w:r>
              <w:t xml:space="preserve">30/30</w:t>
            </w:r>
          </w:p>
        </w:tc>
        <w:tc>
          <w:tcPr/>
          <w:p>
            <w:pPr>
              <w:pStyle w:val="Compact"/>
            </w:pPr>
            <w:r>
              <w:t xml:space="preserve">30/30</w:t>
            </w:r>
          </w:p>
        </w:tc>
      </w:tr>
      <w:tr>
        <w:tc>
          <w:tcPr/>
          <w:p>
            <w:pPr>
              <w:pStyle w:val="Compact"/>
            </w:pPr>
            <w:r>
              <w:t xml:space="preserve">LSTM + météo</w:t>
            </w:r>
          </w:p>
        </w:tc>
        <w:tc>
          <w:tcPr/>
          <w:p>
            <w:pPr>
              <w:pStyle w:val="Compact"/>
            </w:pPr>
            <w:r>
              <w:t xml:space="preserve">ex post</w:t>
            </w:r>
          </w:p>
        </w:tc>
        <w:tc>
          <w:tcPr/>
          <w:p>
            <w:pPr>
              <w:pStyle w:val="Compact"/>
            </w:pPr>
            <w:r>
              <w:t xml:space="preserve">0,518</w:t>
            </w:r>
          </w:p>
        </w:tc>
        <w:tc>
          <w:tcPr/>
          <w:p>
            <w:pPr>
              <w:pStyle w:val="Compact"/>
            </w:pPr>
            <w:r>
              <w:t xml:space="preserve">0,7127</w:t>
            </w:r>
          </w:p>
        </w:tc>
        <w:tc>
          <w:tcPr/>
          <w:p>
            <w:pPr>
              <w:pStyle w:val="Compact"/>
            </w:pPr>
            <w:r>
              <w:t xml:space="preserve">0,5425</w:t>
            </w:r>
          </w:p>
        </w:tc>
        <w:tc>
          <w:tcPr/>
          <w:p>
            <w:pPr>
              <w:pStyle w:val="Compact"/>
            </w:pPr>
            <w:r>
              <w:t xml:space="preserve">22,5</w:t>
            </w:r>
          </w:p>
        </w:tc>
        <w:tc>
          <w:tcPr/>
          <w:p>
            <w:pPr>
              <w:pStyle w:val="Compact"/>
            </w:pPr>
            <w:r>
              <w:t xml:space="preserve">13,1</w:t>
            </w:r>
          </w:p>
        </w:tc>
        <w:tc>
          <w:tcPr/>
          <w:p>
            <w:pPr>
              <w:pStyle w:val="Compact"/>
            </w:pPr>
            <w:r>
              <w:t xml:space="preserve">0,707</w:t>
            </w:r>
          </w:p>
        </w:tc>
        <w:tc>
          <w:tcPr/>
          <w:p>
            <w:pPr>
              <w:pStyle w:val="Compact"/>
            </w:pPr>
            <w:r>
              <w:t xml:space="preserve">0,715</w:t>
            </w:r>
          </w:p>
        </w:tc>
        <w:tc>
          <w:tcPr/>
          <w:p>
            <w:pPr>
              <w:pStyle w:val="Compact"/>
            </w:pPr>
            <w:r>
              <w:t xml:space="preserve">—</w:t>
            </w:r>
          </w:p>
        </w:tc>
        <w:tc>
          <w:tcPr/>
          <w:p>
            <w:pPr>
              <w:pStyle w:val="Compact"/>
            </w:pPr>
            <w:r>
              <w:t xml:space="preserve">30/30</w:t>
            </w:r>
          </w:p>
        </w:tc>
        <w:tc>
          <w:tcPr/>
          <w:p>
            <w:pPr>
              <w:pStyle w:val="Compact"/>
            </w:pPr>
            <w:r>
              <w:t xml:space="preserve">30/30</w:t>
            </w:r>
          </w:p>
        </w:tc>
      </w:tr>
    </w:tbl>
    <w:p>
      <w:pPr>
        <w:pStyle w:val="CaptionedFigure"/>
      </w:pPr>
      <w:r>
        <w:drawing>
          <wp:inline>
            <wp:extent cx="4319999" cy="3058656"/>
            <wp:effectExtent b="0" l="0" r="0" t="0"/>
            <wp:docPr descr="Erreur moyenne des modèles." title="" id="80" name="Picture"/>
            <a:graphic>
              <a:graphicData uri="http://schemas.openxmlformats.org/drawingml/2006/picture">
                <pic:pic>
                  <pic:nvPicPr>
                    <pic:cNvPr descr="../figures/05_modeles.png" id="81" name="Picture"/>
                    <pic:cNvPicPr>
                      <a:picLocks noChangeArrowheads="1" noChangeAspect="1"/>
                    </pic:cNvPicPr>
                  </pic:nvPicPr>
                  <pic:blipFill>
                    <a:blip r:embed="rId79"/>
                    <a:stretch>
                      <a:fillRect/>
                    </a:stretch>
                  </pic:blipFill>
                  <pic:spPr bwMode="auto">
                    <a:xfrm>
                      <a:off x="0" y="0"/>
                      <a:ext cx="4319999" cy="3058656"/>
                    </a:xfrm>
                    <a:prstGeom prst="rect">
                      <a:avLst/>
                    </a:prstGeom>
                    <a:noFill/>
                    <a:ln w="9525">
                      <a:noFill/>
                      <a:headEnd/>
                      <a:tailEnd/>
                    </a:ln>
                  </pic:spPr>
                </pic:pic>
              </a:graphicData>
            </a:graphic>
          </wp:inline>
        </w:drawing>
      </w:r>
    </w:p>
    <w:p>
      <w:pPr>
        <w:pStyle w:val="ImageCaption"/>
      </w:pPr>
      <w:r>
        <w:t xml:space="preserve">Erreur moyenne des modèles.</w:t>
      </w:r>
    </w:p>
    <w:p>
      <w:pPr>
        <w:pStyle w:val="Compact"/>
        <w:numPr>
          <w:ilvl w:val="0"/>
          <w:numId w:val="1007"/>
        </w:numPr>
      </w:pPr>
      <w:r>
        <w:rPr>
          <w:b/>
          <w:bCs/>
        </w:rPr>
        <w:t xml:space="preserve">Ex ante, les modèles se tiennent de près.</w:t>
      </w:r>
      <w:r>
        <w:t xml:space="preserve"> </w:t>
      </w:r>
      <w:r>
        <w:t xml:space="preserve">Le meilleur, LSTM global, a un RMSE moyen de 1,1674</w:t>
      </w:r>
      <w:r>
        <w:t xml:space="preserve"> </w:t>
      </w:r>
      <w:r>
        <w:t xml:space="preserve">contre 1,1934 pour la climatologie, soit 2,2 % de moins. La persistance</w:t>
      </w:r>
      <w:r>
        <w:t xml:space="preserve"> </w:t>
      </w:r>
      <w:r>
        <w:t xml:space="preserve">(1,5617) est loin derrière : reconduire la valeur du jour ignore la saison et amplifie le bruit.</w:t>
      </w:r>
    </w:p>
    <w:p>
      <w:pPr>
        <w:pStyle w:val="Compact"/>
        <w:numPr>
          <w:ilvl w:val="0"/>
          <w:numId w:val="1007"/>
        </w:numPr>
      </w:pPr>
      <w:r>
        <w:rPr>
          <w:b/>
          <w:bCs/>
        </w:rPr>
        <w:t xml:space="preserve">Le gain est concentré sur le premier jour.</w:t>
      </w:r>
      <w:r>
        <w:t xml:space="preserve"> </w:t>
      </w:r>
      <w:r>
        <w:t xml:space="preserve">À J+1, LSTM global gagne 9,7 % sur la</w:t>
      </w:r>
      <w:r>
        <w:t xml:space="preserve"> </w:t>
      </w:r>
      <w:r>
        <w:t xml:space="preserve">climatologie ; à J+7, 0,1 %. C’est la conséquence directe de la faible persistance mesurée au chapitre 3.</w:t>
      </w:r>
    </w:p>
    <w:p>
      <w:pPr>
        <w:pStyle w:val="Compact"/>
        <w:numPr>
          <w:ilvl w:val="0"/>
          <w:numId w:val="1007"/>
        </w:numPr>
      </w:pPr>
      <w:r>
        <w:rPr>
          <w:b/>
          <w:bCs/>
        </w:rPr>
        <w:t xml:space="preserve">Avec la météo observée, l’erreur baisse nettement.</w:t>
      </w:r>
      <w:r>
        <w:t xml:space="preserve"> </w:t>
      </w:r>
      <w:r>
        <w:t xml:space="preserve">Le meilleur modèle ex post, XGBoost + météo, descend à 0,6274, soit 47 % de moins que la climatologie. C’est une borne optimiste : la météo observée remplace une prévision météo, qui serait imparfaite.</w:t>
      </w:r>
    </w:p>
    <w:p>
      <w:pPr>
        <w:pStyle w:val="Compact"/>
        <w:numPr>
          <w:ilvl w:val="0"/>
          <w:numId w:val="1007"/>
        </w:numPr>
      </w:pPr>
      <w:r>
        <w:rPr>
          <w:b/>
          <w:bCs/>
        </w:rPr>
        <w:t xml:space="preserve">Le MAPE est trompeur ici.</w:t>
      </w:r>
      <w:r>
        <w:t xml:space="preserve"> </w:t>
      </w:r>
      <w:r>
        <w:t xml:space="preserve">Il est gonflé par les journées très couvertes, où l’observation est proche de zéro ; le WAPE</w:t>
      </w:r>
      <w:r>
        <w:t xml:space="preserve"> </w:t>
      </w:r>
      <w:r>
        <w:t xml:space="preserve">est plus représentatif.</w:t>
      </w:r>
    </w:p>
    <w:p>
      <w:pPr>
        <w:pStyle w:val="CaptionedFigure"/>
      </w:pPr>
      <w:r>
        <w:drawing>
          <wp:inline>
            <wp:extent cx="4319999" cy="2869554"/>
            <wp:effectExtent b="0" l="0" r="0" t="0"/>
            <wp:docPr descr="Gain sur la climatologie selon l’horizon." title="" id="83" name="Picture"/>
            <a:graphic>
              <a:graphicData uri="http://schemas.openxmlformats.org/drawingml/2006/picture">
                <pic:pic>
                  <pic:nvPicPr>
                    <pic:cNvPr descr="../figures/03_gain_par_horizon.png" id="84" name="Picture"/>
                    <pic:cNvPicPr>
                      <a:picLocks noChangeArrowheads="1" noChangeAspect="1"/>
                    </pic:cNvPicPr>
                  </pic:nvPicPr>
                  <pic:blipFill>
                    <a:blip r:embed="rId82"/>
                    <a:stretch>
                      <a:fillRect/>
                    </a:stretch>
                  </pic:blipFill>
                  <pic:spPr bwMode="auto">
                    <a:xfrm>
                      <a:off x="0" y="0"/>
                      <a:ext cx="4319999" cy="2869554"/>
                    </a:xfrm>
                    <a:prstGeom prst="rect">
                      <a:avLst/>
                    </a:prstGeom>
                    <a:noFill/>
                    <a:ln w="9525">
                      <a:noFill/>
                      <a:headEnd/>
                      <a:tailEnd/>
                    </a:ln>
                  </pic:spPr>
                </pic:pic>
              </a:graphicData>
            </a:graphic>
          </wp:inline>
        </w:drawing>
      </w:r>
    </w:p>
    <w:p>
      <w:pPr>
        <w:pStyle w:val="ImageCaption"/>
      </w:pPr>
      <w:r>
        <w:t xml:space="preserve">Gain sur la climatologie selon l’horizon.</w:t>
      </w:r>
    </w:p>
    <w:bookmarkEnd w:id="85"/>
    <w:bookmarkStart w:id="89" w:name="par-ville"/>
    <w:p>
      <w:pPr>
        <w:pStyle w:val="Heading2"/>
      </w:pPr>
      <w:r>
        <w:t xml:space="preserve">10.3 Par ville</w:t>
      </w:r>
    </w:p>
    <w:p>
      <w:pPr>
        <w:pStyle w:val="CaptionedFigure"/>
      </w:pPr>
      <w:r>
        <w:drawing>
          <wp:inline>
            <wp:extent cx="4319999" cy="4854610"/>
            <wp:effectExtent b="0" l="0" r="0" t="0"/>
            <wp:docPr descr="Gain du meilleur modèle ex ante sur la climatologie, par ville." title="" id="87" name="Picture"/>
            <a:graphic>
              <a:graphicData uri="http://schemas.openxmlformats.org/drawingml/2006/picture">
                <pic:pic>
                  <pic:nvPicPr>
                    <pic:cNvPr descr="../figures/04_gain_par_ville.png" id="88" name="Picture"/>
                    <pic:cNvPicPr>
                      <a:picLocks noChangeArrowheads="1" noChangeAspect="1"/>
                    </pic:cNvPicPr>
                  </pic:nvPicPr>
                  <pic:blipFill>
                    <a:blip r:embed="rId86"/>
                    <a:stretch>
                      <a:fillRect/>
                    </a:stretch>
                  </pic:blipFill>
                  <pic:spPr bwMode="auto">
                    <a:xfrm>
                      <a:off x="0" y="0"/>
                      <a:ext cx="4319999" cy="4854610"/>
                    </a:xfrm>
                    <a:prstGeom prst="rect">
                      <a:avLst/>
                    </a:prstGeom>
                    <a:noFill/>
                    <a:ln w="9525">
                      <a:noFill/>
                      <a:headEnd/>
                      <a:tailEnd/>
                    </a:ln>
                  </pic:spPr>
                </pic:pic>
              </a:graphicData>
            </a:graphic>
          </wp:inline>
        </w:drawing>
      </w:r>
    </w:p>
    <w:p>
      <w:pPr>
        <w:pStyle w:val="ImageCaption"/>
      </w:pPr>
      <w:r>
        <w:t xml:space="preserve">Gain du meilleur modèle ex ante sur la climatologie, par ville.</w:t>
      </w:r>
    </w:p>
    <w:p>
      <w:pPr>
        <w:pStyle w:val="BodyText"/>
      </w:pPr>
      <w:r>
        <w:t xml:space="preserve">Le meilleur modèle ex ante est LSTM global dans 12 villes, LSTM dans 9 villes, GRU dans 8 villes, XGBoost dans 1 villes. Le gain sur la</w:t>
      </w:r>
      <w:r>
        <w:t xml:space="preserve"> </w:t>
      </w:r>
      <w:r>
        <w:t xml:space="preserve">climatologie va de 0,9 % à 4,6 % (médiane 2,3 %). Le tableau complet, avec l’erreur par</w:t>
      </w:r>
      <w:r>
        <w:t xml:space="preserve"> </w:t>
      </w:r>
      <w:r>
        <w:t xml:space="preserve">horizon et par saison, est dans</w:t>
      </w:r>
      <w:r>
        <w:t xml:space="preserve"> </w:t>
      </w:r>
      <w:r>
        <w:rPr>
          <w:rStyle w:val="VerbatimChar"/>
        </w:rPr>
        <w:t xml:space="preserve">reports/synthese_ville.csv</w:t>
      </w:r>
      <w:r>
        <w:t xml:space="preserve">.</w:t>
      </w:r>
    </w:p>
    <w:bookmarkEnd w:id="89"/>
    <w:bookmarkStart w:id="90" w:name="tests-de-diebold-mariano"/>
    <w:p>
      <w:pPr>
        <w:pStyle w:val="Heading2"/>
      </w:pPr>
      <w:r>
        <w:t xml:space="preserve">10.4 Tests de Diebold-Mariano</w:t>
      </w:r>
    </w:p>
    <w:p>
      <w:pPr>
        <w:pStyle w:val="Compact"/>
        <w:numPr>
          <w:ilvl w:val="0"/>
          <w:numId w:val="1008"/>
        </w:numPr>
      </w:pPr>
      <w:r>
        <w:rPr>
          <w:b/>
          <w:bCs/>
        </w:rPr>
        <w:t xml:space="preserve">Hypothèse nulle :</w:t>
      </w:r>
      <w:r>
        <w:t xml:space="preserve"> </w:t>
      </w:r>
      <w:r>
        <w:t xml:space="preserve">le modèle et la climatologie ont la même perte moyenne.</w:t>
      </w:r>
    </w:p>
    <w:p>
      <w:pPr>
        <w:pStyle w:val="Compact"/>
        <w:numPr>
          <w:ilvl w:val="0"/>
          <w:numId w:val="1008"/>
        </w:numPr>
      </w:pPr>
      <w:r>
        <w:rPr>
          <w:b/>
          <w:bCs/>
        </w:rPr>
        <w:t xml:space="preserve">Sens :</w:t>
      </w:r>
      <w:r>
        <w:t xml:space="preserve"> </w:t>
      </w:r>
      <w:r>
        <w:t xml:space="preserve">test unilatéral, l’alternative étant que le modèle fait mieux.</w:t>
      </w:r>
    </w:p>
    <w:p>
      <w:pPr>
        <w:pStyle w:val="Compact"/>
        <w:numPr>
          <w:ilvl w:val="0"/>
          <w:numId w:val="1008"/>
        </w:numPr>
      </w:pPr>
      <w:r>
        <w:rPr>
          <w:b/>
          <w:bCs/>
        </w:rPr>
        <w:t xml:space="preserve">Perte :</w:t>
      </w:r>
      <w:r>
        <w:t xml:space="preserve"> </w:t>
      </w:r>
      <w:r>
        <w:t xml:space="preserve">quadratique (résultats ci-dessus) et absolue (dans</w:t>
      </w:r>
      <w:r>
        <w:t xml:space="preserve"> </w:t>
      </w:r>
      <w:r>
        <w:rPr>
          <w:rStyle w:val="VerbatimChar"/>
        </w:rPr>
        <w:t xml:space="preserve">reports/dm_tests.csv</w:t>
      </w:r>
      <w:r>
        <w:t xml:space="preserve">).</w:t>
      </w:r>
    </w:p>
    <w:p>
      <w:pPr>
        <w:pStyle w:val="Compact"/>
        <w:numPr>
          <w:ilvl w:val="0"/>
          <w:numId w:val="1008"/>
        </w:numPr>
      </w:pPr>
      <w:r>
        <w:rPr>
          <w:b/>
          <w:bCs/>
        </w:rPr>
        <w:t xml:space="preserve">Variance :</w:t>
      </w:r>
      <w:r>
        <w:t xml:space="preserve"> </w:t>
      </w:r>
      <w:r>
        <w:t xml:space="preserve">de long terme, sur h - 1 retards, puisque les erreurs à l’horizon h se chevauchent ; correction de</w:t>
      </w:r>
      <w:r>
        <w:t xml:space="preserve"> </w:t>
      </w:r>
      <w:r>
        <w:t xml:space="preserve">Harvey-Leybourne-Newbold. Un test automatique vérifie que l’implémentation donne les mêmes statistiques que</w:t>
      </w:r>
      <w:r>
        <w:t xml:space="preserve"> </w:t>
      </w:r>
      <w:r>
        <w:rPr>
          <w:rStyle w:val="VerbatimChar"/>
        </w:rPr>
        <w:t xml:space="preserve">forecast::dm.test</w:t>
      </w:r>
      <w:r>
        <w:t xml:space="preserve"> </w:t>
      </w:r>
      <w:r>
        <w:t xml:space="preserve">en R.</w:t>
      </w:r>
    </w:p>
    <w:p>
      <w:pPr>
        <w:pStyle w:val="Compact"/>
        <w:numPr>
          <w:ilvl w:val="0"/>
          <w:numId w:val="1008"/>
        </w:numPr>
      </w:pPr>
      <w:r>
        <w:rPr>
          <w:b/>
          <w:bCs/>
        </w:rPr>
        <w:t xml:space="preserve">Tests multiples :</w:t>
      </w:r>
      <w:r>
        <w:t xml:space="preserve"> </w:t>
      </w:r>
      <w:r>
        <w:t xml:space="preserve">correction de Holm au seuil de 5 %. La famille est l’ensemble des</w:t>
      </w:r>
      <w:r>
        <w:t xml:space="preserve"> </w:t>
      </w:r>
      <w:r>
        <w:t xml:space="preserve">modèles comparés à la climatologie pour une ville, une technologie, un horizon et une perte.</w:t>
      </w:r>
    </w:p>
    <w:p>
      <w:pPr>
        <w:pStyle w:val="FirstParagraph"/>
      </w:pPr>
      <w:r>
        <w:t xml:space="preserve">Les deux dernières colonnes du tableau donnent le résultat : à J+1, LSTM global bat significativement la climatologie dans</w:t>
      </w:r>
      <w:r>
        <w:t xml:space="preserve"> </w:t>
      </w:r>
      <w:r>
        <w:t xml:space="preserve">29 villes sur 30 ; à J+7, dans 2.</w:t>
      </w:r>
    </w:p>
    <w:p>
      <w:pPr>
        <w:pStyle w:val="BodyText"/>
      </w:pPr>
      <w:r>
        <w:rPr>
          <w:b/>
          <w:bCs/>
        </w:rPr>
        <w:t xml:space="preserve">Intervalles.</w:t>
      </w:r>
      <w:r>
        <w:t xml:space="preserve"> </w:t>
      </w:r>
      <w:r>
        <w:t xml:space="preserve">AR(1) + Fourier : 95,6 % ; LSTM global : 95,2 % ; Prophet : 94,7 %. La cible est 95 %. L’intervalle du LSTM global est conforme : sa marge est le quantile des erreurs absolues sur l’année de validation, sans hypothèse de loi. Celui de l’AR(1) suppose des erreurs gaussiennes de variance constante, ce que le chapitre 4 contredit : sa couverture moyenne peut être correcte tout en étant trop étroite en hiver.</w:t>
      </w:r>
    </w:p>
    <w:p>
      <w:pPr>
        <w:pStyle w:val="BodyText"/>
      </w:pPr>
      <w:r>
        <w:rPr>
          <w:b/>
          <w:bCs/>
        </w:rPr>
        <w:t xml:space="preserve">Sensibilité aux jours imputés.</w:t>
      </w:r>
      <w:r>
        <w:t xml:space="preserve"> </w:t>
      </w:r>
      <w:r>
        <w:t xml:space="preserve">Les jours imputés sont tous dans l’apprentissage. Trois modèles ont été réestimés sans eux dans 3 villes, puis évalués sur le même test : le RMSE change au plus de 0,00231 kWh/kWc. Ces jours n’influencent pas les conclusions.</w:t>
      </w:r>
    </w:p>
    <w:p>
      <w:pPr>
        <w:pStyle w:val="BodyText"/>
      </w:pPr>
      <w:r>
        <w:rPr>
          <w:b/>
          <w:bCs/>
        </w:rPr>
        <w:t xml:space="preserve">Un écart expliqué.</w:t>
      </w:r>
      <w:r>
        <w:t xml:space="preserve"> </w:t>
      </w:r>
      <w:r>
        <w:t xml:space="preserve">Une première version de ce protocole donnait à Tunis une climatologie plus mauvaise que celle de l’étude historique. La cause est la définition de la normale : sans lissage, la moyenne par jour de l’année donne 1,1324 ; lissée sur 31 jours, 1,1002, valeur de l’étude historique. Mesurer l’erreur sur les dates de test plutôt que sur les origines ne change presque rien. Le détail est dans</w:t>
      </w:r>
      <w:r>
        <w:t xml:space="preserve"> </w:t>
      </w:r>
      <w:r>
        <w:rPr>
          <w:rStyle w:val="VerbatimChar"/>
        </w:rPr>
        <w:t xml:space="preserve">reports/diagnostic_ecart_climatologie_tunis.csv</w:t>
      </w:r>
      <w:r>
        <w:t xml:space="preserve">.</w:t>
      </w:r>
    </w:p>
    <w:bookmarkEnd w:id="90"/>
    <w:bookmarkStart w:id="91" w:name="quel-modèle-pour-quel-usage"/>
    <w:p>
      <w:pPr>
        <w:pStyle w:val="Heading2"/>
      </w:pPr>
      <w:r>
        <w:t xml:space="preserve">10.5 Quel modèle pour quel usage ?</w:t>
      </w:r>
    </w:p>
    <w:p>
      <w:pPr>
        <w:pStyle w:val="Compact"/>
        <w:numPr>
          <w:ilvl w:val="0"/>
          <w:numId w:val="1009"/>
        </w:numPr>
      </w:pPr>
      <w:r>
        <w:rPr>
          <w:b/>
          <w:bCs/>
        </w:rPr>
        <w:t xml:space="preserve">Sans prévision météo, au-delà de deux jours :</w:t>
      </w:r>
      <w:r>
        <w:t xml:space="preserve"> </w:t>
      </w:r>
      <w:r>
        <w:t xml:space="preserve">la normale saisonnière. Aucun modèle ne la bat durablement.</w:t>
      </w:r>
    </w:p>
    <w:p>
      <w:pPr>
        <w:pStyle w:val="Compact"/>
        <w:numPr>
          <w:ilvl w:val="0"/>
          <w:numId w:val="1009"/>
        </w:numPr>
      </w:pPr>
      <w:r>
        <w:rPr>
          <w:b/>
          <w:bCs/>
        </w:rPr>
        <w:t xml:space="preserve">Sans prévision météo, à un ou deux jours :</w:t>
      </w:r>
      <w:r>
        <w:t xml:space="preserve"> </w:t>
      </w:r>
      <w:r>
        <w:t xml:space="preserve">un modèle ex ante. Le modèle AR(1) à termes de Fourier est interprétable et</w:t>
      </w:r>
      <w:r>
        <w:t xml:space="preserve"> </w:t>
      </w:r>
      <w:r>
        <w:t xml:space="preserve">rapide à ajuster ; XGBoost et le LSTM global sont un peu plus précis mais moins lisibles.</w:t>
      </w:r>
    </w:p>
    <w:p>
      <w:pPr>
        <w:pStyle w:val="Compact"/>
        <w:numPr>
          <w:ilvl w:val="0"/>
          <w:numId w:val="1009"/>
        </w:numPr>
      </w:pPr>
      <w:r>
        <w:rPr>
          <w:b/>
          <w:bCs/>
        </w:rPr>
        <w:t xml:space="preserve">Avec une prévision météo :</w:t>
      </w:r>
      <w:r>
        <w:t xml:space="preserve"> </w:t>
      </w:r>
      <w:r>
        <w:t xml:space="preserve">un modèle qui l’utilise. C’est là qu’est le gain, et c’est la qualité de la prévision météo qui le bornera.</w:t>
      </w:r>
    </w:p>
    <w:p>
      <w:r>
        <w:br w:type="page"/>
      </w:r>
    </w:p>
    <w:bookmarkEnd w:id="91"/>
    <w:bookmarkEnd w:id="92"/>
    <w:bookmarkStart w:id="96" w:name="discussion-critique"/>
    <w:p>
      <w:pPr>
        <w:pStyle w:val="Heading1"/>
      </w:pPr>
      <w:r>
        <w:t xml:space="preserve">11. Discussion critique</w:t>
      </w:r>
    </w:p>
    <w:bookmarkStart w:id="93" w:name="limites-des-données-et-des-modèles"/>
    <w:p>
      <w:pPr>
        <w:pStyle w:val="Heading2"/>
      </w:pPr>
      <w:r>
        <w:t xml:space="preserve">11.1 Limites des données et des modèles</w:t>
      </w:r>
    </w:p>
    <w:p>
      <w:pPr>
        <w:pStyle w:val="Compact"/>
        <w:numPr>
          <w:ilvl w:val="0"/>
          <w:numId w:val="1010"/>
        </w:numPr>
      </w:pPr>
      <w:r>
        <w:rPr>
          <w:b/>
          <w:bCs/>
        </w:rPr>
        <w:t xml:space="preserve">Données simulées.</w:t>
      </w:r>
      <w:r>
        <w:t xml:space="preserve"> </w:t>
      </w:r>
      <w:r>
        <w:t xml:space="preserve">La production est simulée par PVGIS pour une installation théorique, sans panne, ombrage ni salissure. Les</w:t>
      </w:r>
      <w:r>
        <w:t xml:space="preserve"> </w:t>
      </w:r>
      <w:r>
        <w:t xml:space="preserve">conclusions portent sur la météo et sur les modèles de rendement, pas sur le comportement d’installations réelles.</w:t>
      </w:r>
    </w:p>
    <w:p>
      <w:pPr>
        <w:pStyle w:val="Compact"/>
        <w:numPr>
          <w:ilvl w:val="0"/>
          <w:numId w:val="1010"/>
        </w:numPr>
      </w:pPr>
      <w:r>
        <w:rPr>
          <w:b/>
          <w:bCs/>
        </w:rPr>
        <w:t xml:space="preserve">Ex post n’est pas une prévision.</w:t>
      </w:r>
      <w:r>
        <w:t xml:space="preserve"> </w:t>
      </w:r>
      <w:r>
        <w:t xml:space="preserve">Les modèles ex post reçoivent la météo observée. Avec une vraie prévision météo, leur erreur se</w:t>
      </w:r>
      <w:r>
        <w:t xml:space="preserve"> </w:t>
      </w:r>
      <w:r>
        <w:t xml:space="preserve">situerait entre celle des modèles ex post et celle des modèles ex ante ; seule une évaluation avec des prévisions archivées le dirait.</w:t>
      </w:r>
    </w:p>
    <w:p>
      <w:pPr>
        <w:pStyle w:val="Compact"/>
        <w:numPr>
          <w:ilvl w:val="0"/>
          <w:numId w:val="1010"/>
        </w:numPr>
      </w:pPr>
      <w:r>
        <w:rPr>
          <w:b/>
          <w:bCs/>
        </w:rPr>
        <w:t xml:space="preserve">Hypothèses violées.</w:t>
      </w:r>
      <w:r>
        <w:t xml:space="preserve"> </w:t>
      </w:r>
      <w:r>
        <w:t xml:space="preserve">Les résidus ne sont ni gaussiens ni de variance constante : les intervalles analytiques sont approximatifs.</w:t>
      </w:r>
      <w:r>
        <w:t xml:space="preserve"> </w:t>
      </w:r>
      <w:r>
        <w:t xml:space="preserve">Les intervalles conformes n’ont pas ce défaut, mais leur marge est la même toute l’année.</w:t>
      </w:r>
    </w:p>
    <w:p>
      <w:pPr>
        <w:pStyle w:val="Compact"/>
        <w:numPr>
          <w:ilvl w:val="0"/>
          <w:numId w:val="1010"/>
        </w:numPr>
      </w:pPr>
      <w:r>
        <w:rPr>
          <w:b/>
          <w:bCs/>
        </w:rPr>
        <w:t xml:space="preserve">Prévisibilité faible.</w:t>
      </w:r>
      <w:r>
        <w:t xml:space="preserve"> </w:t>
      </w:r>
      <w:r>
        <w:t xml:space="preserve">La faible autocorrélation de l’écart à la saison borne ce que tout modèle ex ante peut faire. Les écarts</w:t>
      </w:r>
      <w:r>
        <w:t xml:space="preserve"> </w:t>
      </w:r>
      <w:r>
        <w:t xml:space="preserve">entre modèles sont petits devant l’incertitude ; le choix se fait donc aussi sur la lisibilité et le coût.</w:t>
      </w:r>
    </w:p>
    <w:p>
      <w:pPr>
        <w:pStyle w:val="Compact"/>
        <w:numPr>
          <w:ilvl w:val="0"/>
          <w:numId w:val="1010"/>
        </w:numPr>
      </w:pPr>
      <w:r>
        <w:rPr>
          <w:b/>
          <w:bCs/>
        </w:rPr>
        <w:t xml:space="preserve">Une seule période de test,</w:t>
      </w:r>
      <w:r>
        <w:t xml:space="preserve"> </w:t>
      </w:r>
      <w:r>
        <w:t xml:space="preserve">d’environ deux ans.</w:t>
      </w:r>
    </w:p>
    <w:p>
      <w:pPr>
        <w:pStyle w:val="Compact"/>
        <w:numPr>
          <w:ilvl w:val="0"/>
          <w:numId w:val="1010"/>
        </w:numPr>
      </w:pPr>
      <w:r>
        <w:rPr>
          <w:b/>
          <w:bCs/>
        </w:rPr>
        <w:t xml:space="preserve">Réseaux non réajustés.</w:t>
      </w:r>
      <w:r>
        <w:t xml:space="preserve"> </w:t>
      </w:r>
      <w:r>
        <w:t xml:space="preserve">Les réseaux récurrents sont entraînés une fois, alors que les modèles classiques sont réestimés tous les</w:t>
      </w:r>
      <w:r>
        <w:t xml:space="preserve"> </w:t>
      </w:r>
      <w:r>
        <w:t xml:space="preserve">30 jours : la comparaison leur est légèrement défavorable.</w:t>
      </w:r>
    </w:p>
    <w:p>
      <w:pPr>
        <w:pStyle w:val="Compact"/>
        <w:numPr>
          <w:ilvl w:val="0"/>
          <w:numId w:val="1010"/>
        </w:numPr>
      </w:pPr>
      <w:r>
        <w:rPr>
          <w:b/>
          <w:bCs/>
        </w:rPr>
        <w:t xml:space="preserve">Technologies.</w:t>
      </w:r>
      <w:r>
        <w:t xml:space="preserve"> </w:t>
      </w:r>
      <w:r>
        <w:t xml:space="preserve">Les écarts entre technologies sont faibles et souvent dans la marge d’incertitude ; ni la dégradation ni la</w:t>
      </w:r>
      <w:r>
        <w:t xml:space="preserve"> </w:t>
      </w:r>
      <w:r>
        <w:t xml:space="preserve">fiabilité mécanique ne sont modélisées.</w:t>
      </w:r>
    </w:p>
    <w:p>
      <w:pPr>
        <w:pStyle w:val="Compact"/>
        <w:numPr>
          <w:ilvl w:val="0"/>
          <w:numId w:val="1010"/>
        </w:numPr>
      </w:pPr>
      <w:r>
        <w:rPr>
          <w:b/>
          <w:bCs/>
        </w:rPr>
        <w:t xml:space="preserve">Économie.</w:t>
      </w:r>
      <w:r>
        <w:t xml:space="preserve"> </w:t>
      </w:r>
      <w:r>
        <w:t xml:space="preserve">Toutes les hypothèses de prix et de coût restent à vérifier.</w:t>
      </w:r>
    </w:p>
    <w:bookmarkEnd w:id="93"/>
    <w:bookmarkStart w:id="94" w:name="ia-générative-et-séries-temporelles"/>
    <w:p>
      <w:pPr>
        <w:pStyle w:val="Heading2"/>
      </w:pPr>
      <w:r>
        <w:t xml:space="preserve">11.2 IA générative et séries temporelles</w:t>
      </w:r>
    </w:p>
    <w:p>
      <w:pPr>
        <w:pStyle w:val="FirstParagraph"/>
      </w:pPr>
      <w:r>
        <w:rPr>
          <w:b/>
          <w:bCs/>
        </w:rPr>
        <w:t xml:space="preserve">Avantages.</w:t>
      </w:r>
    </w:p>
    <w:p>
      <w:pPr>
        <w:pStyle w:val="Compact"/>
        <w:numPr>
          <w:ilvl w:val="0"/>
          <w:numId w:val="1011"/>
        </w:numPr>
      </w:pPr>
      <w:r>
        <w:rPr>
          <w:b/>
          <w:bCs/>
        </w:rPr>
        <w:t xml:space="preserve">Accélérer les tâches périphériques :</w:t>
      </w:r>
      <w:r>
        <w:t xml:space="preserve"> </w:t>
      </w:r>
      <w:r>
        <w:t xml:space="preserve">liste d’hypothèses de modèles, reformulation pour un décideur, documentation, squelette de code.</w:t>
      </w:r>
    </w:p>
    <w:p>
      <w:pPr>
        <w:pStyle w:val="Compact"/>
        <w:numPr>
          <w:ilvl w:val="0"/>
          <w:numId w:val="1011"/>
        </w:numPr>
      </w:pPr>
      <w:r>
        <w:rPr>
          <w:b/>
          <w:bCs/>
        </w:rPr>
        <w:t xml:space="preserve">Servir de relecteur naïf :</w:t>
      </w:r>
      <w:r>
        <w:t xml:space="preserve"> </w:t>
      </w:r>
      <w:r>
        <w:t xml:space="preserve">ses contresens montrent où une définition doit être rendue explicite.</w:t>
      </w:r>
    </w:p>
    <w:p>
      <w:pPr>
        <w:pStyle w:val="Compact"/>
        <w:numPr>
          <w:ilvl w:val="0"/>
          <w:numId w:val="1011"/>
        </w:numPr>
      </w:pPr>
      <w:r>
        <w:rPr>
          <w:b/>
          <w:bCs/>
        </w:rPr>
        <w:t xml:space="preserve">Interroger des résultats en langage naturel,</w:t>
      </w:r>
      <w:r>
        <w:t xml:space="preserve"> </w:t>
      </w:r>
      <w:r>
        <w:t xml:space="preserve">à condition d’ancrer les réponses sur les tableaux produits par le code.</w:t>
      </w:r>
    </w:p>
    <w:p>
      <w:pPr>
        <w:pStyle w:val="FirstParagraph"/>
      </w:pPr>
      <w:r>
        <w:rPr>
          <w:b/>
          <w:bCs/>
        </w:rPr>
        <w:t xml:space="preserve">Inconvénients.</w:t>
      </w:r>
    </w:p>
    <w:p>
      <w:pPr>
        <w:pStyle w:val="Compact"/>
        <w:numPr>
          <w:ilvl w:val="0"/>
          <w:numId w:val="1012"/>
        </w:numPr>
      </w:pPr>
      <w:r>
        <w:rPr>
          <w:b/>
          <w:bCs/>
        </w:rPr>
        <w:t xml:space="preserve">Hallucination statistique :</w:t>
      </w:r>
      <w:r>
        <w:t xml:space="preserve"> </w:t>
      </w:r>
      <w:r>
        <w:t xml:space="preserve">p-values lues à l’envers ou inventées, chiffres plausibles mais faux. Rien, dans le ton, ne distingue</w:t>
      </w:r>
      <w:r>
        <w:t xml:space="preserve"> </w:t>
      </w:r>
      <w:r>
        <w:t xml:space="preserve">une affirmation juste d’une affirmation fausse.</w:t>
      </w:r>
    </w:p>
    <w:p>
      <w:pPr>
        <w:pStyle w:val="Compact"/>
        <w:numPr>
          <w:ilvl w:val="0"/>
          <w:numId w:val="1012"/>
        </w:numPr>
      </w:pPr>
      <w:r>
        <w:rPr>
          <w:b/>
          <w:bCs/>
        </w:rPr>
        <w:t xml:space="preserve">Causalités inventées :</w:t>
      </w:r>
      <w:r>
        <w:t xml:space="preserve"> </w:t>
      </w:r>
      <w:r>
        <w:t xml:space="preserve">une corrélation ou un test de Granger devient une cause.</w:t>
      </w:r>
    </w:p>
    <w:p>
      <w:pPr>
        <w:pStyle w:val="Compact"/>
        <w:numPr>
          <w:ilvl w:val="0"/>
          <w:numId w:val="1012"/>
        </w:numPr>
      </w:pPr>
      <w:r>
        <w:rPr>
          <w:b/>
          <w:bCs/>
        </w:rPr>
        <w:t xml:space="preserve">Pas de sens des ordres de grandeur :</w:t>
      </w:r>
      <w:r>
        <w:t xml:space="preserve"> </w:t>
      </w:r>
      <w:r>
        <w:t xml:space="preserve">un écart de quelques millièmes de kWh/kWc est présenté comme une victoire.</w:t>
      </w:r>
    </w:p>
    <w:p>
      <w:pPr>
        <w:pStyle w:val="Compact"/>
        <w:numPr>
          <w:ilvl w:val="0"/>
          <w:numId w:val="1012"/>
        </w:numPr>
      </w:pPr>
      <w:r>
        <w:rPr>
          <w:b/>
          <w:bCs/>
        </w:rPr>
        <w:t xml:space="preserve">Reproductibilité :</w:t>
      </w:r>
      <w:r>
        <w:t xml:space="preserve"> </w:t>
      </w:r>
      <w:r>
        <w:t xml:space="preserve">la réponse dépend du modèle et de sa version.</w:t>
      </w:r>
    </w:p>
    <w:p>
      <w:pPr>
        <w:pStyle w:val="Compact"/>
        <w:numPr>
          <w:ilvl w:val="0"/>
          <w:numId w:val="1012"/>
        </w:numPr>
      </w:pPr>
      <w:r>
        <w:rPr>
          <w:b/>
          <w:bCs/>
        </w:rPr>
        <w:t xml:space="preserve">Responsabilité :</w:t>
      </w:r>
      <w:r>
        <w:t xml:space="preserve"> </w:t>
      </w:r>
      <w:r>
        <w:t xml:space="preserve">un texte recopié sans relecture engage son auteur sur des erreurs qu’il n’a pas vues.</w:t>
      </w:r>
    </w:p>
    <w:p>
      <w:pPr>
        <w:pStyle w:val="FirstParagraph"/>
      </w:pPr>
      <w:r>
        <w:rPr>
          <w:b/>
          <w:bCs/>
        </w:rPr>
        <w:t xml:space="preserve">Règles retenues.</w:t>
      </w:r>
      <w:r>
        <w:t xml:space="preserve"> </w:t>
      </w:r>
      <w:r>
        <w:t xml:space="preserve">Rédiger sa propre interprétation avant ; fournir les chiffres dans le prompt ; demander au LLM ses propres limites,</w:t>
      </w:r>
      <w:r>
        <w:t xml:space="preserve"> </w:t>
      </w:r>
      <w:r>
        <w:t xml:space="preserve">puis les compléter ; vérifier chaque nombre cité ; ne jamais laisser un LLM choisir seul le modèle à déployer.</w:t>
      </w:r>
    </w:p>
    <w:bookmarkEnd w:id="94"/>
    <w:bookmarkStart w:id="95" w:name="prolongements"/>
    <w:p>
      <w:pPr>
        <w:pStyle w:val="Heading2"/>
      </w:pPr>
      <w:r>
        <w:t xml:space="preserve">11.3 Prolongements</w:t>
      </w:r>
    </w:p>
    <w:p>
      <w:pPr>
        <w:pStyle w:val="Compact"/>
        <w:numPr>
          <w:ilvl w:val="0"/>
          <w:numId w:val="1013"/>
        </w:numPr>
      </w:pPr>
      <w:r>
        <w:t xml:space="preserve">Évaluer les modèles avec des prévisions météo archivées, pour remplacer la borne ex post par un scénario opérationnel.</w:t>
      </w:r>
    </w:p>
    <w:p>
      <w:pPr>
        <w:pStyle w:val="Compact"/>
        <w:numPr>
          <w:ilvl w:val="0"/>
          <w:numId w:val="1013"/>
        </w:numPr>
      </w:pPr>
      <w:r>
        <w:t xml:space="preserve">Ajouter les mesures d’installations réelles.</w:t>
      </w:r>
    </w:p>
    <w:p>
      <w:pPr>
        <w:pStyle w:val="Compact"/>
        <w:numPr>
          <w:ilvl w:val="0"/>
          <w:numId w:val="1013"/>
        </w:numPr>
      </w:pPr>
      <w:r>
        <w:t xml:space="preserve">Vérifier les hypothèses économiques auprès des sources indiquées.</w:t>
      </w:r>
    </w:p>
    <w:p>
      <w:pPr>
        <w:pStyle w:val="Compact"/>
        <w:numPr>
          <w:ilvl w:val="0"/>
          <w:numId w:val="1013"/>
        </w:numPr>
      </w:pPr>
      <w:r>
        <w:t xml:space="preserve">Faire tourner le pipeline sous DVC et dans la chaîne d’intégration, puis construire l’image Docker.</w:t>
      </w:r>
    </w:p>
    <w:p>
      <w:r>
        <w:br w:type="page"/>
      </w:r>
    </w:p>
    <w:bookmarkEnd w:id="95"/>
    <w:bookmarkEnd w:id="96"/>
    <w:bookmarkStart w:id="97" w:name="annexe-a.-reproductibilité"/>
    <w:p>
      <w:pPr>
        <w:pStyle w:val="Heading1"/>
      </w:pPr>
      <w:r>
        <w:t xml:space="preserve">Annexe A. Reproductibilité</w:t>
      </w:r>
    </w:p>
    <w:p>
      <w:pPr>
        <w:pStyle w:val="TableCaption"/>
      </w:pPr>
      <w:r>
        <w:t xml:space="preserve">Commandes.</w:t>
      </w:r>
    </w:p>
    <w:tbl>
      <w:tblPr>
        <w:tblStyle w:val="Table"/>
        <w:tblW w:type="pct" w:w="5000"/>
        <w:tblLayout w:type="fixed"/>
        <w:tblLook w:firstRow="1" w:lastRow="0" w:firstColumn="0" w:lastColumn="0" w:noHBand="0" w:noVBand="0" w:val="0020"/>
        <w:tblCaption w:val="Commandes."/>
      </w:tblPr>
      <w:tblGrid>
        <w:gridCol w:w="3960"/>
        <w:gridCol w:w="3960"/>
      </w:tblGrid>
      <w:tr>
        <w:trPr>
          <w:tblHeader w:val="on"/>
        </w:trPr>
        <w:tc>
          <w:tcPr/>
          <w:p>
            <w:pPr>
              <w:pStyle w:val="Compact"/>
            </w:pPr>
            <w:r>
              <w:t xml:space="preserve">Étape</w:t>
            </w:r>
          </w:p>
        </w:tc>
        <w:tc>
          <w:tcPr/>
          <w:p>
            <w:pPr>
              <w:pStyle w:val="Compact"/>
            </w:pPr>
            <w:r>
              <w:t xml:space="preserve">Commande</w:t>
            </w:r>
          </w:p>
        </w:tc>
      </w:tr>
      <w:tr>
        <w:tc>
          <w:tcPr/>
          <w:p>
            <w:pPr>
              <w:pStyle w:val="Compact"/>
            </w:pPr>
            <w:r>
              <w:t xml:space="preserve">Parcours rapide (3 villes)</w:t>
            </w:r>
          </w:p>
        </w:tc>
        <w:tc>
          <w:tcPr/>
          <w:p>
            <w:pPr>
              <w:pStyle w:val="Compact"/>
            </w:pPr>
            <w:r>
              <w:rPr>
                <w:rStyle w:val="VerbatimChar"/>
              </w:rPr>
              <w:t xml:space="preserve">python -m solarvision.cli pipeline --fast</w:t>
            </w:r>
          </w:p>
        </w:tc>
      </w:tr>
      <w:tr>
        <w:tc>
          <w:tcPr/>
          <w:p>
            <w:pPr>
              <w:pStyle w:val="Compact"/>
            </w:pPr>
            <w:r>
              <w:t xml:space="preserve">Étude complète</w:t>
            </w:r>
          </w:p>
        </w:tc>
        <w:tc>
          <w:tcPr/>
          <w:p>
            <w:pPr>
              <w:pStyle w:val="Compact"/>
            </w:pPr>
            <w:r>
              <w:rPr>
                <w:rStyle w:val="VerbatimChar"/>
              </w:rPr>
              <w:t xml:space="preserve">python -m solarvision.cli pipeline</w:t>
            </w:r>
          </w:p>
        </w:tc>
      </w:tr>
      <w:tr>
        <w:tc>
          <w:tcPr/>
          <w:p>
            <w:pPr>
              <w:pStyle w:val="Compact"/>
            </w:pPr>
            <w:r>
              <w:t xml:space="preserve">Reprise des villes en échec</w:t>
            </w:r>
          </w:p>
        </w:tc>
        <w:tc>
          <w:tcPr/>
          <w:p>
            <w:pPr>
              <w:pStyle w:val="Compact"/>
            </w:pPr>
            <w:r>
              <w:rPr>
                <w:rStyle w:val="VerbatimChar"/>
              </w:rPr>
              <w:t xml:space="preserve">python -m solarvision.cli ingest --retry-failed</w:t>
            </w:r>
          </w:p>
        </w:tc>
      </w:tr>
      <w:tr>
        <w:tc>
          <w:tcPr/>
          <w:p>
            <w:pPr>
              <w:pStyle w:val="Compact"/>
            </w:pPr>
            <w:r>
              <w:t xml:space="preserve">Application et API</w:t>
            </w:r>
          </w:p>
        </w:tc>
        <w:tc>
          <w:tcPr/>
          <w:p>
            <w:pPr>
              <w:pStyle w:val="Compact"/>
            </w:pPr>
            <w:r>
              <w:rPr>
                <w:rStyle w:val="VerbatimChar"/>
              </w:rPr>
              <w:t xml:space="preserve">python -m solarvision.cli serve</w:t>
            </w:r>
          </w:p>
        </w:tc>
      </w:tr>
      <w:tr>
        <w:tc>
          <w:tcPr/>
          <w:p>
            <w:pPr>
              <w:pStyle w:val="Compact"/>
            </w:pPr>
            <w:r>
              <w:t xml:space="preserve">Rapport</w:t>
            </w:r>
          </w:p>
        </w:tc>
        <w:tc>
          <w:tcPr/>
          <w:p>
            <w:pPr>
              <w:pStyle w:val="Compact"/>
            </w:pPr>
            <w:r>
              <w:rPr>
                <w:rStyle w:val="VerbatimChar"/>
              </w:rPr>
              <w:t xml:space="preserve">python -m solarvision.cli report</w:t>
            </w:r>
          </w:p>
        </w:tc>
      </w:tr>
      <w:tr>
        <w:tc>
          <w:tcPr/>
          <w:p>
            <w:pPr>
              <w:pStyle w:val="Compact"/>
            </w:pPr>
            <w:r>
              <w:t xml:space="preserve">Tests</w:t>
            </w:r>
          </w:p>
        </w:tc>
        <w:tc>
          <w:tcPr/>
          <w:p>
            <w:pPr>
              <w:pStyle w:val="Compact"/>
            </w:pPr>
            <w:r>
              <w:rPr>
                <w:rStyle w:val="VerbatimChar"/>
              </w:rPr>
              <w:t xml:space="preserve">python -m pytest</w:t>
            </w:r>
          </w:p>
        </w:tc>
      </w:tr>
      <w:tr>
        <w:tc>
          <w:tcPr/>
          <w:p>
            <w:pPr>
              <w:pStyle w:val="Compact"/>
            </w:pPr>
            <w:r>
              <w:t xml:space="preserve">Dossier R autonome</w:t>
            </w:r>
          </w:p>
        </w:tc>
        <w:tc>
          <w:tcPr/>
          <w:p>
            <w:pPr>
              <w:pStyle w:val="Compact"/>
            </w:pPr>
            <w:r>
              <w:rPr>
                <w:rStyle w:val="VerbatimChar"/>
              </w:rPr>
              <w:t xml:space="preserve">Rscript run_all.R</w:t>
            </w:r>
            <w:r>
              <w:t xml:space="preserve"> </w:t>
            </w:r>
            <w:r>
              <w:t xml:space="preserve">dans le dossier R</w:t>
            </w:r>
          </w:p>
        </w:tc>
      </w:tr>
    </w:tbl>
    <w:p>
      <w:pPr>
        <w:pStyle w:val="BodyText"/>
      </w:pPr>
      <w:r>
        <w:t xml:space="preserve">Graine : 42. Bibliothèques : python 3.14.2, numpy 2.3.5, pandas 2.3.3, torch 2.12.1, statsmodels 0.15.0, xgboost 3.1.3, prophet 1.5.0, scikit-learn 1.8.0.</w:t>
      </w:r>
    </w:p>
    <w:p>
      <w:r>
        <w:br w:type="page"/>
      </w:r>
    </w:p>
    <w:bookmarkEnd w:id="97"/>
    <w:bookmarkStart w:id="98" w:name="annexe-b.-résultats-par-ville"/>
    <w:p>
      <w:pPr>
        <w:pStyle w:val="Heading1"/>
      </w:pPr>
      <w:r>
        <w:t xml:space="preserve">Annexe B. Résultats par ville</w:t>
      </w:r>
    </w:p>
    <w:p>
      <w:pPr>
        <w:pStyle w:val="TableCaption"/>
      </w:pPr>
      <w:r>
        <w:t xml:space="preserve">Meilleur modèle ex ante par ville (kWh/kWc).</w:t>
      </w:r>
    </w:p>
    <w:tbl>
      <w:tblPr>
        <w:tblStyle w:val="Table"/>
        <w:tblW w:type="pct" w:w="5000"/>
        <w:tblLayout w:type="fixed"/>
        <w:tblLook w:firstRow="1" w:lastRow="0" w:firstColumn="0" w:lastColumn="0" w:noHBand="0" w:noVBand="0" w:val="0020"/>
        <w:tblCaption w:val="Meilleur modèle ex ante par ville (kWh/kWc)."/>
      </w:tblPr>
      <w:tblGrid>
        <w:gridCol w:w="990"/>
        <w:gridCol w:w="990"/>
        <w:gridCol w:w="990"/>
        <w:gridCol w:w="990"/>
        <w:gridCol w:w="990"/>
        <w:gridCol w:w="990"/>
        <w:gridCol w:w="990"/>
        <w:gridCol w:w="990"/>
      </w:tblGrid>
      <w:tr>
        <w:trPr>
          <w:tblHeader w:val="on"/>
        </w:trPr>
        <w:tc>
          <w:tcPr/>
          <w:p>
            <w:pPr>
              <w:pStyle w:val="Compact"/>
            </w:pPr>
            <w:r>
              <w:t xml:space="preserve">Ville</w:t>
            </w:r>
          </w:p>
        </w:tc>
        <w:tc>
          <w:tcPr/>
          <w:p>
            <w:pPr>
              <w:pStyle w:val="Compact"/>
            </w:pPr>
            <w:r>
              <w:t xml:space="preserve">Pays</w:t>
            </w:r>
          </w:p>
        </w:tc>
        <w:tc>
          <w:tcPr/>
          <w:p>
            <w:pPr>
              <w:pStyle w:val="Compact"/>
            </w:pPr>
            <w:r>
              <w:t xml:space="preserve">Meilleur modèle ex ante</w:t>
            </w:r>
          </w:p>
        </w:tc>
        <w:tc>
          <w:tcPr/>
          <w:p>
            <w:pPr>
              <w:pStyle w:val="Compact"/>
            </w:pPr>
            <w:r>
              <w:t xml:space="preserve">RMSE</w:t>
            </w:r>
          </w:p>
        </w:tc>
        <w:tc>
          <w:tcPr/>
          <w:p>
            <w:pPr>
              <w:pStyle w:val="Compact"/>
            </w:pPr>
            <w:r>
              <w:t xml:space="preserve">Climatologie</w:t>
            </w:r>
          </w:p>
        </w:tc>
        <w:tc>
          <w:tcPr/>
          <w:p>
            <w:pPr>
              <w:pStyle w:val="Compact"/>
            </w:pPr>
            <w:r>
              <w:t xml:space="preserve">Gain (%)</w:t>
            </w:r>
          </w:p>
        </w:tc>
        <w:tc>
          <w:tcPr/>
          <w:p>
            <w:pPr>
              <w:pStyle w:val="Compact"/>
            </w:pPr>
            <w:r>
              <w:t xml:space="preserve">J+1</w:t>
            </w:r>
          </w:p>
        </w:tc>
        <w:tc>
          <w:tcPr/>
          <w:p>
            <w:pPr>
              <w:pStyle w:val="Compact"/>
            </w:pPr>
            <w:r>
              <w:t xml:space="preserve">J+7</w:t>
            </w:r>
          </w:p>
        </w:tc>
      </w:tr>
      <w:tr>
        <w:tc>
          <w:tcPr/>
          <w:p>
            <w:pPr>
              <w:pStyle w:val="Compact"/>
            </w:pPr>
            <w:r>
              <w:t xml:space="preserve">Barcelone</w:t>
            </w:r>
          </w:p>
        </w:tc>
        <w:tc>
          <w:tcPr/>
          <w:p>
            <w:pPr>
              <w:pStyle w:val="Compact"/>
            </w:pPr>
            <w:r>
              <w:t xml:space="preserve">Espagne</w:t>
            </w:r>
          </w:p>
        </w:tc>
        <w:tc>
          <w:tcPr/>
          <w:p>
            <w:pPr>
              <w:pStyle w:val="Compact"/>
            </w:pPr>
            <w:r>
              <w:t xml:space="preserve">LSTM</w:t>
            </w:r>
          </w:p>
        </w:tc>
        <w:tc>
          <w:tcPr/>
          <w:p>
            <w:pPr>
              <w:pStyle w:val="Compact"/>
            </w:pPr>
            <w:r>
              <w:t xml:space="preserve">1,2573</w:t>
            </w:r>
          </w:p>
        </w:tc>
        <w:tc>
          <w:tcPr/>
          <w:p>
            <w:pPr>
              <w:pStyle w:val="Compact"/>
            </w:pPr>
            <w:r>
              <w:t xml:space="preserve">1,2720</w:t>
            </w:r>
          </w:p>
        </w:tc>
        <w:tc>
          <w:tcPr/>
          <w:p>
            <w:pPr>
              <w:pStyle w:val="Compact"/>
            </w:pPr>
            <w:r>
              <w:t xml:space="preserve">1,2</w:t>
            </w:r>
          </w:p>
        </w:tc>
        <w:tc>
          <w:tcPr/>
          <w:p>
            <w:pPr>
              <w:pStyle w:val="Compact"/>
            </w:pPr>
            <w:r>
              <w:t xml:space="preserve">1,202</w:t>
            </w:r>
          </w:p>
        </w:tc>
        <w:tc>
          <w:tcPr/>
          <w:p>
            <w:pPr>
              <w:pStyle w:val="Compact"/>
            </w:pPr>
            <w:r>
              <w:t xml:space="preserve">1,277</w:t>
            </w:r>
          </w:p>
        </w:tc>
      </w:tr>
      <w:tr>
        <w:tc>
          <w:tcPr/>
          <w:p>
            <w:pPr>
              <w:pStyle w:val="Compact"/>
            </w:pPr>
            <w:r>
              <w:t xml:space="preserve">Bilbao</w:t>
            </w:r>
          </w:p>
        </w:tc>
        <w:tc>
          <w:tcPr/>
          <w:p>
            <w:pPr>
              <w:pStyle w:val="Compact"/>
            </w:pPr>
            <w:r>
              <w:t xml:space="preserve">Espagne</w:t>
            </w:r>
          </w:p>
        </w:tc>
        <w:tc>
          <w:tcPr/>
          <w:p>
            <w:pPr>
              <w:pStyle w:val="Compact"/>
            </w:pPr>
            <w:r>
              <w:t xml:space="preserve">LSTM</w:t>
            </w:r>
          </w:p>
        </w:tc>
        <w:tc>
          <w:tcPr/>
          <w:p>
            <w:pPr>
              <w:pStyle w:val="Compact"/>
            </w:pPr>
            <w:r>
              <w:t xml:space="preserve">1,5375</w:t>
            </w:r>
          </w:p>
        </w:tc>
        <w:tc>
          <w:tcPr/>
          <w:p>
            <w:pPr>
              <w:pStyle w:val="Compact"/>
            </w:pPr>
            <w:r>
              <w:t xml:space="preserve">1,5569</w:t>
            </w:r>
          </w:p>
        </w:tc>
        <w:tc>
          <w:tcPr/>
          <w:p>
            <w:pPr>
              <w:pStyle w:val="Compact"/>
            </w:pPr>
            <w:r>
              <w:t xml:space="preserve">1,2</w:t>
            </w:r>
          </w:p>
        </w:tc>
        <w:tc>
          <w:tcPr/>
          <w:p>
            <w:pPr>
              <w:pStyle w:val="Compact"/>
            </w:pPr>
            <w:r>
              <w:t xml:space="preserve">1,460</w:t>
            </w:r>
          </w:p>
        </w:tc>
        <w:tc>
          <w:tcPr/>
          <w:p>
            <w:pPr>
              <w:pStyle w:val="Compact"/>
            </w:pPr>
            <w:r>
              <w:t xml:space="preserve">1,556</w:t>
            </w:r>
          </w:p>
        </w:tc>
      </w:tr>
      <w:tr>
        <w:tc>
          <w:tcPr/>
          <w:p>
            <w:pPr>
              <w:pStyle w:val="Compact"/>
            </w:pPr>
            <w:r>
              <w:t xml:space="preserve">Grenade</w:t>
            </w:r>
          </w:p>
        </w:tc>
        <w:tc>
          <w:tcPr/>
          <w:p>
            <w:pPr>
              <w:pStyle w:val="Compact"/>
            </w:pPr>
            <w:r>
              <w:t xml:space="preserve">Espagne</w:t>
            </w:r>
          </w:p>
        </w:tc>
        <w:tc>
          <w:tcPr/>
          <w:p>
            <w:pPr>
              <w:pStyle w:val="Compact"/>
            </w:pPr>
            <w:r>
              <w:t xml:space="preserve">LSTM</w:t>
            </w:r>
          </w:p>
        </w:tc>
        <w:tc>
          <w:tcPr/>
          <w:p>
            <w:pPr>
              <w:pStyle w:val="Compact"/>
            </w:pPr>
            <w:r>
              <w:t xml:space="preserve">1,2579</w:t>
            </w:r>
          </w:p>
        </w:tc>
        <w:tc>
          <w:tcPr/>
          <w:p>
            <w:pPr>
              <w:pStyle w:val="Compact"/>
            </w:pPr>
            <w:r>
              <w:t xml:space="preserve">1,2918</w:t>
            </w:r>
          </w:p>
        </w:tc>
        <w:tc>
          <w:tcPr/>
          <w:p>
            <w:pPr>
              <w:pStyle w:val="Compact"/>
            </w:pPr>
            <w:r>
              <w:t xml:space="preserve">2,6</w:t>
            </w:r>
          </w:p>
        </w:tc>
        <w:tc>
          <w:tcPr/>
          <w:p>
            <w:pPr>
              <w:pStyle w:val="Compact"/>
            </w:pPr>
            <w:r>
              <w:t xml:space="preserve">1,121</w:t>
            </w:r>
          </w:p>
        </w:tc>
        <w:tc>
          <w:tcPr/>
          <w:p>
            <w:pPr>
              <w:pStyle w:val="Compact"/>
            </w:pPr>
            <w:r>
              <w:t xml:space="preserve">1,291</w:t>
            </w:r>
          </w:p>
        </w:tc>
      </w:tr>
      <w:tr>
        <w:tc>
          <w:tcPr/>
          <w:p>
            <w:pPr>
              <w:pStyle w:val="Compact"/>
            </w:pPr>
            <w:r>
              <w:t xml:space="preserve">Madrid</w:t>
            </w:r>
          </w:p>
        </w:tc>
        <w:tc>
          <w:tcPr/>
          <w:p>
            <w:pPr>
              <w:pStyle w:val="Compact"/>
            </w:pPr>
            <w:r>
              <w:t xml:space="preserve">Espagne</w:t>
            </w:r>
          </w:p>
        </w:tc>
        <w:tc>
          <w:tcPr/>
          <w:p>
            <w:pPr>
              <w:pStyle w:val="Compact"/>
            </w:pPr>
            <w:r>
              <w:t xml:space="preserve">GRU</w:t>
            </w:r>
          </w:p>
        </w:tc>
        <w:tc>
          <w:tcPr/>
          <w:p>
            <w:pPr>
              <w:pStyle w:val="Compact"/>
            </w:pPr>
            <w:r>
              <w:t xml:space="preserve">1,2562</w:t>
            </w:r>
          </w:p>
        </w:tc>
        <w:tc>
          <w:tcPr/>
          <w:p>
            <w:pPr>
              <w:pStyle w:val="Compact"/>
            </w:pPr>
            <w:r>
              <w:t xml:space="preserve">1,3170</w:t>
            </w:r>
          </w:p>
        </w:tc>
        <w:tc>
          <w:tcPr/>
          <w:p>
            <w:pPr>
              <w:pStyle w:val="Compact"/>
            </w:pPr>
            <w:r>
              <w:t xml:space="preserve">4,6</w:t>
            </w:r>
          </w:p>
        </w:tc>
        <w:tc>
          <w:tcPr/>
          <w:p>
            <w:pPr>
              <w:pStyle w:val="Compact"/>
            </w:pPr>
            <w:r>
              <w:t xml:space="preserve">1,126</w:t>
            </w:r>
          </w:p>
        </w:tc>
        <w:tc>
          <w:tcPr/>
          <w:p>
            <w:pPr>
              <w:pStyle w:val="Compact"/>
            </w:pPr>
            <w:r>
              <w:t xml:space="preserve">1,309</w:t>
            </w:r>
          </w:p>
        </w:tc>
      </w:tr>
      <w:tr>
        <w:tc>
          <w:tcPr/>
          <w:p>
            <w:pPr>
              <w:pStyle w:val="Compact"/>
            </w:pPr>
            <w:r>
              <w:t xml:space="preserve">Malaga</w:t>
            </w:r>
          </w:p>
        </w:tc>
        <w:tc>
          <w:tcPr/>
          <w:p>
            <w:pPr>
              <w:pStyle w:val="Compact"/>
            </w:pPr>
            <w:r>
              <w:t xml:space="preserve">Espagne</w:t>
            </w:r>
          </w:p>
        </w:tc>
        <w:tc>
          <w:tcPr/>
          <w:p>
            <w:pPr>
              <w:pStyle w:val="Compact"/>
            </w:pPr>
            <w:r>
              <w:t xml:space="preserve">GRU</w:t>
            </w:r>
          </w:p>
        </w:tc>
        <w:tc>
          <w:tcPr/>
          <w:p>
            <w:pPr>
              <w:pStyle w:val="Compact"/>
            </w:pPr>
            <w:r>
              <w:t xml:space="preserve">1,1163</w:t>
            </w:r>
          </w:p>
        </w:tc>
        <w:tc>
          <w:tcPr/>
          <w:p>
            <w:pPr>
              <w:pStyle w:val="Compact"/>
            </w:pPr>
            <w:r>
              <w:t xml:space="preserve">1,1535</w:t>
            </w:r>
          </w:p>
        </w:tc>
        <w:tc>
          <w:tcPr/>
          <w:p>
            <w:pPr>
              <w:pStyle w:val="Compact"/>
            </w:pPr>
            <w:r>
              <w:t xml:space="preserve">3,2</w:t>
            </w:r>
          </w:p>
        </w:tc>
        <w:tc>
          <w:tcPr/>
          <w:p>
            <w:pPr>
              <w:pStyle w:val="Compact"/>
            </w:pPr>
            <w:r>
              <w:t xml:space="preserve">1,011</w:t>
            </w:r>
          </w:p>
        </w:tc>
        <w:tc>
          <w:tcPr/>
          <w:p>
            <w:pPr>
              <w:pStyle w:val="Compact"/>
            </w:pPr>
            <w:r>
              <w:t xml:space="preserve">1,140</w:t>
            </w:r>
          </w:p>
        </w:tc>
      </w:tr>
      <w:tr>
        <w:tc>
          <w:tcPr/>
          <w:p>
            <w:pPr>
              <w:pStyle w:val="Compact"/>
            </w:pPr>
            <w:r>
              <w:t xml:space="preserve">Murcie</w:t>
            </w:r>
          </w:p>
        </w:tc>
        <w:tc>
          <w:tcPr/>
          <w:p>
            <w:pPr>
              <w:pStyle w:val="Compact"/>
            </w:pPr>
            <w:r>
              <w:t xml:space="preserve">Espagne</w:t>
            </w:r>
          </w:p>
        </w:tc>
        <w:tc>
          <w:tcPr/>
          <w:p>
            <w:pPr>
              <w:pStyle w:val="Compact"/>
            </w:pPr>
            <w:r>
              <w:t xml:space="preserve">LSTM</w:t>
            </w:r>
          </w:p>
        </w:tc>
        <w:tc>
          <w:tcPr/>
          <w:p>
            <w:pPr>
              <w:pStyle w:val="Compact"/>
            </w:pPr>
            <w:r>
              <w:t xml:space="preserve">1,1671</w:t>
            </w:r>
          </w:p>
        </w:tc>
        <w:tc>
          <w:tcPr/>
          <w:p>
            <w:pPr>
              <w:pStyle w:val="Compact"/>
            </w:pPr>
            <w:r>
              <w:t xml:space="preserve">1,2107</w:t>
            </w:r>
          </w:p>
        </w:tc>
        <w:tc>
          <w:tcPr/>
          <w:p>
            <w:pPr>
              <w:pStyle w:val="Compact"/>
            </w:pPr>
            <w:r>
              <w:t xml:space="preserve">3,6</w:t>
            </w:r>
          </w:p>
        </w:tc>
        <w:tc>
          <w:tcPr/>
          <w:p>
            <w:pPr>
              <w:pStyle w:val="Compact"/>
            </w:pPr>
            <w:r>
              <w:t xml:space="preserve">1,039</w:t>
            </w:r>
          </w:p>
        </w:tc>
        <w:tc>
          <w:tcPr/>
          <w:p>
            <w:pPr>
              <w:pStyle w:val="Compact"/>
            </w:pPr>
            <w:r>
              <w:t xml:space="preserve">1,213</w:t>
            </w:r>
          </w:p>
        </w:tc>
      </w:tr>
      <w:tr>
        <w:tc>
          <w:tcPr/>
          <w:p>
            <w:pPr>
              <w:pStyle w:val="Compact"/>
            </w:pPr>
            <w:r>
              <w:t xml:space="preserve">Palma</w:t>
            </w:r>
          </w:p>
        </w:tc>
        <w:tc>
          <w:tcPr/>
          <w:p>
            <w:pPr>
              <w:pStyle w:val="Compact"/>
            </w:pPr>
            <w:r>
              <w:t xml:space="preserve">Espagne</w:t>
            </w:r>
          </w:p>
        </w:tc>
        <w:tc>
          <w:tcPr/>
          <w:p>
            <w:pPr>
              <w:pStyle w:val="Compact"/>
            </w:pPr>
            <w:r>
              <w:t xml:space="preserve">LSTM</w:t>
            </w:r>
          </w:p>
        </w:tc>
        <w:tc>
          <w:tcPr/>
          <w:p>
            <w:pPr>
              <w:pStyle w:val="Compact"/>
            </w:pPr>
            <w:r>
              <w:t xml:space="preserve">1,0924</w:t>
            </w:r>
          </w:p>
        </w:tc>
        <w:tc>
          <w:tcPr/>
          <w:p>
            <w:pPr>
              <w:pStyle w:val="Compact"/>
            </w:pPr>
            <w:r>
              <w:t xml:space="preserve">1,1175</w:t>
            </w:r>
          </w:p>
        </w:tc>
        <w:tc>
          <w:tcPr/>
          <w:p>
            <w:pPr>
              <w:pStyle w:val="Compact"/>
            </w:pPr>
            <w:r>
              <w:t xml:space="preserve">2,2</w:t>
            </w:r>
          </w:p>
        </w:tc>
        <w:tc>
          <w:tcPr/>
          <w:p>
            <w:pPr>
              <w:pStyle w:val="Compact"/>
            </w:pPr>
            <w:r>
              <w:t xml:space="preserve">1,028</w:t>
            </w:r>
          </w:p>
        </w:tc>
        <w:tc>
          <w:tcPr/>
          <w:p>
            <w:pPr>
              <w:pStyle w:val="Compact"/>
            </w:pPr>
            <w:r>
              <w:t xml:space="preserve">1,107</w:t>
            </w:r>
          </w:p>
        </w:tc>
      </w:tr>
      <w:tr>
        <w:tc>
          <w:tcPr/>
          <w:p>
            <w:pPr>
              <w:pStyle w:val="Compact"/>
            </w:pPr>
            <w:r>
              <w:t xml:space="preserve">Saragosse</w:t>
            </w:r>
          </w:p>
        </w:tc>
        <w:tc>
          <w:tcPr/>
          <w:p>
            <w:pPr>
              <w:pStyle w:val="Compact"/>
            </w:pPr>
            <w:r>
              <w:t xml:space="preserve">Espagne</w:t>
            </w:r>
          </w:p>
        </w:tc>
        <w:tc>
          <w:tcPr/>
          <w:p>
            <w:pPr>
              <w:pStyle w:val="Compact"/>
            </w:pPr>
            <w:r>
              <w:t xml:space="preserve">LSTM global</w:t>
            </w:r>
          </w:p>
        </w:tc>
        <w:tc>
          <w:tcPr/>
          <w:p>
            <w:pPr>
              <w:pStyle w:val="Compact"/>
            </w:pPr>
            <w:r>
              <w:t xml:space="preserve">1,2658</w:t>
            </w:r>
          </w:p>
        </w:tc>
        <w:tc>
          <w:tcPr/>
          <w:p>
            <w:pPr>
              <w:pStyle w:val="Compact"/>
            </w:pPr>
            <w:r>
              <w:t xml:space="preserve">1,2922</w:t>
            </w:r>
          </w:p>
        </w:tc>
        <w:tc>
          <w:tcPr/>
          <w:p>
            <w:pPr>
              <w:pStyle w:val="Compact"/>
            </w:pPr>
            <w:r>
              <w:t xml:space="preserve">2,0</w:t>
            </w:r>
          </w:p>
        </w:tc>
        <w:tc>
          <w:tcPr/>
          <w:p>
            <w:pPr>
              <w:pStyle w:val="Compact"/>
            </w:pPr>
            <w:r>
              <w:t xml:space="preserve">1,182</w:t>
            </w:r>
          </w:p>
        </w:tc>
        <w:tc>
          <w:tcPr/>
          <w:p>
            <w:pPr>
              <w:pStyle w:val="Compact"/>
            </w:pPr>
            <w:r>
              <w:t xml:space="preserve">1,289</w:t>
            </w:r>
          </w:p>
        </w:tc>
      </w:tr>
      <w:tr>
        <w:tc>
          <w:tcPr/>
          <w:p>
            <w:pPr>
              <w:pStyle w:val="Compact"/>
            </w:pPr>
            <w:r>
              <w:t xml:space="preserve">Séville</w:t>
            </w:r>
          </w:p>
        </w:tc>
        <w:tc>
          <w:tcPr/>
          <w:p>
            <w:pPr>
              <w:pStyle w:val="Compact"/>
            </w:pPr>
            <w:r>
              <w:t xml:space="preserve">Espagne</w:t>
            </w:r>
          </w:p>
        </w:tc>
        <w:tc>
          <w:tcPr/>
          <w:p>
            <w:pPr>
              <w:pStyle w:val="Compact"/>
            </w:pPr>
            <w:r>
              <w:t xml:space="preserve">LSTM global</w:t>
            </w:r>
          </w:p>
        </w:tc>
        <w:tc>
          <w:tcPr/>
          <w:p>
            <w:pPr>
              <w:pStyle w:val="Compact"/>
            </w:pPr>
            <w:r>
              <w:t xml:space="preserve">1,0649</w:t>
            </w:r>
          </w:p>
        </w:tc>
        <w:tc>
          <w:tcPr/>
          <w:p>
            <w:pPr>
              <w:pStyle w:val="Compact"/>
            </w:pPr>
            <w:r>
              <w:t xml:space="preserve">1,0973</w:t>
            </w:r>
          </w:p>
        </w:tc>
        <w:tc>
          <w:tcPr/>
          <w:p>
            <w:pPr>
              <w:pStyle w:val="Compact"/>
            </w:pPr>
            <w:r>
              <w:t xml:space="preserve">3,0</w:t>
            </w:r>
          </w:p>
        </w:tc>
        <w:tc>
          <w:tcPr/>
          <w:p>
            <w:pPr>
              <w:pStyle w:val="Compact"/>
            </w:pPr>
            <w:r>
              <w:t xml:space="preserve">0,941</w:t>
            </w:r>
          </w:p>
        </w:tc>
        <w:tc>
          <w:tcPr/>
          <w:p>
            <w:pPr>
              <w:pStyle w:val="Compact"/>
            </w:pPr>
            <w:r>
              <w:t xml:space="preserve">1,097</w:t>
            </w:r>
          </w:p>
        </w:tc>
      </w:tr>
      <w:tr>
        <w:tc>
          <w:tcPr/>
          <w:p>
            <w:pPr>
              <w:pStyle w:val="Compact"/>
            </w:pPr>
            <w:r>
              <w:t xml:space="preserve">Valence</w:t>
            </w:r>
          </w:p>
        </w:tc>
        <w:tc>
          <w:tcPr/>
          <w:p>
            <w:pPr>
              <w:pStyle w:val="Compact"/>
            </w:pPr>
            <w:r>
              <w:t xml:space="preserve">Espagne</w:t>
            </w:r>
          </w:p>
        </w:tc>
        <w:tc>
          <w:tcPr/>
          <w:p>
            <w:pPr>
              <w:pStyle w:val="Compact"/>
            </w:pPr>
            <w:r>
              <w:t xml:space="preserve">GRU</w:t>
            </w:r>
          </w:p>
        </w:tc>
        <w:tc>
          <w:tcPr/>
          <w:p>
            <w:pPr>
              <w:pStyle w:val="Compact"/>
            </w:pPr>
            <w:r>
              <w:t xml:space="preserve">1,2088</w:t>
            </w:r>
          </w:p>
        </w:tc>
        <w:tc>
          <w:tcPr/>
          <w:p>
            <w:pPr>
              <w:pStyle w:val="Compact"/>
            </w:pPr>
            <w:r>
              <w:t xml:space="preserve">1,2448</w:t>
            </w:r>
          </w:p>
        </w:tc>
        <w:tc>
          <w:tcPr/>
          <w:p>
            <w:pPr>
              <w:pStyle w:val="Compact"/>
            </w:pPr>
            <w:r>
              <w:t xml:space="preserve">2,9</w:t>
            </w:r>
          </w:p>
        </w:tc>
        <w:tc>
          <w:tcPr/>
          <w:p>
            <w:pPr>
              <w:pStyle w:val="Compact"/>
            </w:pPr>
            <w:r>
              <w:t xml:space="preserve">1,098</w:t>
            </w:r>
          </w:p>
        </w:tc>
        <w:tc>
          <w:tcPr/>
          <w:p>
            <w:pPr>
              <w:pStyle w:val="Compact"/>
            </w:pPr>
            <w:r>
              <w:t xml:space="preserve">1,242</w:t>
            </w:r>
          </w:p>
        </w:tc>
      </w:tr>
      <w:tr>
        <w:tc>
          <w:tcPr/>
          <w:p>
            <w:pPr>
              <w:pStyle w:val="Compact"/>
            </w:pPr>
            <w:r>
              <w:t xml:space="preserve">Bordeaux</w:t>
            </w:r>
          </w:p>
        </w:tc>
        <w:tc>
          <w:tcPr/>
          <w:p>
            <w:pPr>
              <w:pStyle w:val="Compact"/>
            </w:pPr>
            <w:r>
              <w:t xml:space="preserve">France</w:t>
            </w:r>
          </w:p>
        </w:tc>
        <w:tc>
          <w:tcPr/>
          <w:p>
            <w:pPr>
              <w:pStyle w:val="Compact"/>
            </w:pPr>
            <w:r>
              <w:t xml:space="preserve">LSTM</w:t>
            </w:r>
          </w:p>
        </w:tc>
        <w:tc>
          <w:tcPr/>
          <w:p>
            <w:pPr>
              <w:pStyle w:val="Compact"/>
            </w:pPr>
            <w:r>
              <w:t xml:space="preserve">1,3431</w:t>
            </w:r>
          </w:p>
        </w:tc>
        <w:tc>
          <w:tcPr/>
          <w:p>
            <w:pPr>
              <w:pStyle w:val="Compact"/>
            </w:pPr>
            <w:r>
              <w:t xml:space="preserve">1,3685</w:t>
            </w:r>
          </w:p>
        </w:tc>
        <w:tc>
          <w:tcPr/>
          <w:p>
            <w:pPr>
              <w:pStyle w:val="Compact"/>
            </w:pPr>
            <w:r>
              <w:t xml:space="preserve">1,9</w:t>
            </w:r>
          </w:p>
        </w:tc>
        <w:tc>
          <w:tcPr/>
          <w:p>
            <w:pPr>
              <w:pStyle w:val="Compact"/>
            </w:pPr>
            <w:r>
              <w:t xml:space="preserve">1,269</w:t>
            </w:r>
          </w:p>
        </w:tc>
        <w:tc>
          <w:tcPr/>
          <w:p>
            <w:pPr>
              <w:pStyle w:val="Compact"/>
            </w:pPr>
            <w:r>
              <w:t xml:space="preserve">1,360</w:t>
            </w:r>
          </w:p>
        </w:tc>
      </w:tr>
      <w:tr>
        <w:tc>
          <w:tcPr/>
          <w:p>
            <w:pPr>
              <w:pStyle w:val="Compact"/>
            </w:pPr>
            <w:r>
              <w:t xml:space="preserve">Lille</w:t>
            </w:r>
          </w:p>
        </w:tc>
        <w:tc>
          <w:tcPr/>
          <w:p>
            <w:pPr>
              <w:pStyle w:val="Compact"/>
            </w:pPr>
            <w:r>
              <w:t xml:space="preserve">France</w:t>
            </w:r>
          </w:p>
        </w:tc>
        <w:tc>
          <w:tcPr/>
          <w:p>
            <w:pPr>
              <w:pStyle w:val="Compact"/>
            </w:pPr>
            <w:r>
              <w:t xml:space="preserve">LSTM</w:t>
            </w:r>
          </w:p>
        </w:tc>
        <w:tc>
          <w:tcPr/>
          <w:p>
            <w:pPr>
              <w:pStyle w:val="Compact"/>
            </w:pPr>
            <w:r>
              <w:t xml:space="preserve">1,4009</w:t>
            </w:r>
          </w:p>
        </w:tc>
        <w:tc>
          <w:tcPr/>
          <w:p>
            <w:pPr>
              <w:pStyle w:val="Compact"/>
            </w:pPr>
            <w:r>
              <w:t xml:space="preserve">1,4561</w:t>
            </w:r>
          </w:p>
        </w:tc>
        <w:tc>
          <w:tcPr/>
          <w:p>
            <w:pPr>
              <w:pStyle w:val="Compact"/>
            </w:pPr>
            <w:r>
              <w:t xml:space="preserve">3,8</w:t>
            </w:r>
          </w:p>
        </w:tc>
        <w:tc>
          <w:tcPr/>
          <w:p>
            <w:pPr>
              <w:pStyle w:val="Compact"/>
            </w:pPr>
            <w:r>
              <w:t xml:space="preserve">1,298</w:t>
            </w:r>
          </w:p>
        </w:tc>
        <w:tc>
          <w:tcPr/>
          <w:p>
            <w:pPr>
              <w:pStyle w:val="Compact"/>
            </w:pPr>
            <w:r>
              <w:t xml:space="preserve">1,430</w:t>
            </w:r>
          </w:p>
        </w:tc>
      </w:tr>
      <w:tr>
        <w:tc>
          <w:tcPr/>
          <w:p>
            <w:pPr>
              <w:pStyle w:val="Compact"/>
            </w:pPr>
            <w:r>
              <w:t xml:space="preserve">Lyon</w:t>
            </w:r>
          </w:p>
        </w:tc>
        <w:tc>
          <w:tcPr/>
          <w:p>
            <w:pPr>
              <w:pStyle w:val="Compact"/>
            </w:pPr>
            <w:r>
              <w:t xml:space="preserve">France</w:t>
            </w:r>
          </w:p>
        </w:tc>
        <w:tc>
          <w:tcPr/>
          <w:p>
            <w:pPr>
              <w:pStyle w:val="Compact"/>
            </w:pPr>
            <w:r>
              <w:t xml:space="preserve">LSTM global</w:t>
            </w:r>
          </w:p>
        </w:tc>
        <w:tc>
          <w:tcPr/>
          <w:p>
            <w:pPr>
              <w:pStyle w:val="Compact"/>
            </w:pPr>
            <w:r>
              <w:t xml:space="preserve">1,3660</w:t>
            </w:r>
          </w:p>
        </w:tc>
        <w:tc>
          <w:tcPr/>
          <w:p>
            <w:pPr>
              <w:pStyle w:val="Compact"/>
            </w:pPr>
            <w:r>
              <w:t xml:space="preserve">1,4123</w:t>
            </w:r>
          </w:p>
        </w:tc>
        <w:tc>
          <w:tcPr/>
          <w:p>
            <w:pPr>
              <w:pStyle w:val="Compact"/>
            </w:pPr>
            <w:r>
              <w:t xml:space="preserve">3,3</w:t>
            </w:r>
          </w:p>
        </w:tc>
        <w:tc>
          <w:tcPr/>
          <w:p>
            <w:pPr>
              <w:pStyle w:val="Compact"/>
            </w:pPr>
            <w:r>
              <w:t xml:space="preserve">1,236</w:t>
            </w:r>
          </w:p>
        </w:tc>
        <w:tc>
          <w:tcPr/>
          <w:p>
            <w:pPr>
              <w:pStyle w:val="Compact"/>
            </w:pPr>
            <w:r>
              <w:t xml:space="preserve">1,396</w:t>
            </w:r>
          </w:p>
        </w:tc>
      </w:tr>
      <w:tr>
        <w:tc>
          <w:tcPr/>
          <w:p>
            <w:pPr>
              <w:pStyle w:val="Compact"/>
            </w:pPr>
            <w:r>
              <w:t xml:space="preserve">Marseille</w:t>
            </w:r>
          </w:p>
        </w:tc>
        <w:tc>
          <w:tcPr/>
          <w:p>
            <w:pPr>
              <w:pStyle w:val="Compact"/>
            </w:pPr>
            <w:r>
              <w:t xml:space="preserve">France</w:t>
            </w:r>
          </w:p>
        </w:tc>
        <w:tc>
          <w:tcPr/>
          <w:p>
            <w:pPr>
              <w:pStyle w:val="Compact"/>
            </w:pPr>
            <w:r>
              <w:t xml:space="preserve">LSTM</w:t>
            </w:r>
          </w:p>
        </w:tc>
        <w:tc>
          <w:tcPr/>
          <w:p>
            <w:pPr>
              <w:pStyle w:val="Compact"/>
            </w:pPr>
            <w:r>
              <w:t xml:space="preserve">1,2115</w:t>
            </w:r>
          </w:p>
        </w:tc>
        <w:tc>
          <w:tcPr/>
          <w:p>
            <w:pPr>
              <w:pStyle w:val="Compact"/>
            </w:pPr>
            <w:r>
              <w:t xml:space="preserve">1,2402</w:t>
            </w:r>
          </w:p>
        </w:tc>
        <w:tc>
          <w:tcPr/>
          <w:p>
            <w:pPr>
              <w:pStyle w:val="Compact"/>
            </w:pPr>
            <w:r>
              <w:t xml:space="preserve">2,3</w:t>
            </w:r>
          </w:p>
        </w:tc>
        <w:tc>
          <w:tcPr/>
          <w:p>
            <w:pPr>
              <w:pStyle w:val="Compact"/>
            </w:pPr>
            <w:r>
              <w:t xml:space="preserve">1,137</w:t>
            </w:r>
          </w:p>
        </w:tc>
        <w:tc>
          <w:tcPr/>
          <w:p>
            <w:pPr>
              <w:pStyle w:val="Compact"/>
            </w:pPr>
            <w:r>
              <w:t xml:space="preserve">1,239</w:t>
            </w:r>
          </w:p>
        </w:tc>
      </w:tr>
      <w:tr>
        <w:tc>
          <w:tcPr/>
          <w:p>
            <w:pPr>
              <w:pStyle w:val="Compact"/>
            </w:pPr>
            <w:r>
              <w:t xml:space="preserve">Montpellier</w:t>
            </w:r>
          </w:p>
        </w:tc>
        <w:tc>
          <w:tcPr/>
          <w:p>
            <w:pPr>
              <w:pStyle w:val="Compact"/>
            </w:pPr>
            <w:r>
              <w:t xml:space="preserve">France</w:t>
            </w:r>
          </w:p>
        </w:tc>
        <w:tc>
          <w:tcPr/>
          <w:p>
            <w:pPr>
              <w:pStyle w:val="Compact"/>
            </w:pPr>
            <w:r>
              <w:t xml:space="preserve">LSTM</w:t>
            </w:r>
          </w:p>
        </w:tc>
        <w:tc>
          <w:tcPr/>
          <w:p>
            <w:pPr>
              <w:pStyle w:val="Compact"/>
            </w:pPr>
            <w:r>
              <w:t xml:space="preserve">1,3582</w:t>
            </w:r>
          </w:p>
        </w:tc>
        <w:tc>
          <w:tcPr/>
          <w:p>
            <w:pPr>
              <w:pStyle w:val="Compact"/>
            </w:pPr>
            <w:r>
              <w:t xml:space="preserve">1,3832</w:t>
            </w:r>
          </w:p>
        </w:tc>
        <w:tc>
          <w:tcPr/>
          <w:p>
            <w:pPr>
              <w:pStyle w:val="Compact"/>
            </w:pPr>
            <w:r>
              <w:t xml:space="preserve">1,8</w:t>
            </w:r>
          </w:p>
        </w:tc>
        <w:tc>
          <w:tcPr/>
          <w:p>
            <w:pPr>
              <w:pStyle w:val="Compact"/>
            </w:pPr>
            <w:r>
              <w:t xml:space="preserve">1,278</w:t>
            </w:r>
          </w:p>
        </w:tc>
        <w:tc>
          <w:tcPr/>
          <w:p>
            <w:pPr>
              <w:pStyle w:val="Compact"/>
            </w:pPr>
            <w:r>
              <w:t xml:space="preserve">1,385</w:t>
            </w:r>
          </w:p>
        </w:tc>
      </w:tr>
      <w:tr>
        <w:tc>
          <w:tcPr/>
          <w:p>
            <w:pPr>
              <w:pStyle w:val="Compact"/>
            </w:pPr>
            <w:r>
              <w:t xml:space="preserve">Nantes</w:t>
            </w:r>
          </w:p>
        </w:tc>
        <w:tc>
          <w:tcPr/>
          <w:p>
            <w:pPr>
              <w:pStyle w:val="Compact"/>
            </w:pPr>
            <w:r>
              <w:t xml:space="preserve">France</w:t>
            </w:r>
          </w:p>
        </w:tc>
        <w:tc>
          <w:tcPr/>
          <w:p>
            <w:pPr>
              <w:pStyle w:val="Compact"/>
            </w:pPr>
            <w:r>
              <w:t xml:space="preserve">XGBoost</w:t>
            </w:r>
          </w:p>
        </w:tc>
        <w:tc>
          <w:tcPr/>
          <w:p>
            <w:pPr>
              <w:pStyle w:val="Compact"/>
            </w:pPr>
            <w:r>
              <w:t xml:space="preserve">1,3818</w:t>
            </w:r>
          </w:p>
        </w:tc>
        <w:tc>
          <w:tcPr/>
          <w:p>
            <w:pPr>
              <w:pStyle w:val="Compact"/>
            </w:pPr>
            <w:r>
              <w:t xml:space="preserve">1,4156</w:t>
            </w:r>
          </w:p>
        </w:tc>
        <w:tc>
          <w:tcPr/>
          <w:p>
            <w:pPr>
              <w:pStyle w:val="Compact"/>
            </w:pPr>
            <w:r>
              <w:t xml:space="preserve">2,4</w:t>
            </w:r>
          </w:p>
        </w:tc>
        <w:tc>
          <w:tcPr/>
          <w:p>
            <w:pPr>
              <w:pStyle w:val="Compact"/>
            </w:pPr>
            <w:r>
              <w:t xml:space="preserve">1,266</w:t>
            </w:r>
          </w:p>
        </w:tc>
        <w:tc>
          <w:tcPr/>
          <w:p>
            <w:pPr>
              <w:pStyle w:val="Compact"/>
            </w:pPr>
            <w:r>
              <w:t xml:space="preserve">1,411</w:t>
            </w:r>
          </w:p>
        </w:tc>
      </w:tr>
      <w:tr>
        <w:tc>
          <w:tcPr/>
          <w:p>
            <w:pPr>
              <w:pStyle w:val="Compact"/>
            </w:pPr>
            <w:r>
              <w:t xml:space="preserve">Nice</w:t>
            </w:r>
          </w:p>
        </w:tc>
        <w:tc>
          <w:tcPr/>
          <w:p>
            <w:pPr>
              <w:pStyle w:val="Compact"/>
            </w:pPr>
            <w:r>
              <w:t xml:space="preserve">France</w:t>
            </w:r>
          </w:p>
        </w:tc>
        <w:tc>
          <w:tcPr/>
          <w:p>
            <w:pPr>
              <w:pStyle w:val="Compact"/>
            </w:pPr>
            <w:r>
              <w:t xml:space="preserve">GRU</w:t>
            </w:r>
          </w:p>
        </w:tc>
        <w:tc>
          <w:tcPr/>
          <w:p>
            <w:pPr>
              <w:pStyle w:val="Compact"/>
            </w:pPr>
            <w:r>
              <w:t xml:space="preserve">1,2847</w:t>
            </w:r>
          </w:p>
        </w:tc>
        <w:tc>
          <w:tcPr/>
          <w:p>
            <w:pPr>
              <w:pStyle w:val="Compact"/>
            </w:pPr>
            <w:r>
              <w:t xml:space="preserve">1,3174</w:t>
            </w:r>
          </w:p>
        </w:tc>
        <w:tc>
          <w:tcPr/>
          <w:p>
            <w:pPr>
              <w:pStyle w:val="Compact"/>
            </w:pPr>
            <w:r>
              <w:t xml:space="preserve">2,5</w:t>
            </w:r>
          </w:p>
        </w:tc>
        <w:tc>
          <w:tcPr/>
          <w:p>
            <w:pPr>
              <w:pStyle w:val="Compact"/>
            </w:pPr>
            <w:r>
              <w:t xml:space="preserve">1,203</w:t>
            </w:r>
          </w:p>
        </w:tc>
        <w:tc>
          <w:tcPr/>
          <w:p>
            <w:pPr>
              <w:pStyle w:val="Compact"/>
            </w:pPr>
            <w:r>
              <w:t xml:space="preserve">1,310</w:t>
            </w:r>
          </w:p>
        </w:tc>
      </w:tr>
      <w:tr>
        <w:tc>
          <w:tcPr/>
          <w:p>
            <w:pPr>
              <w:pStyle w:val="Compact"/>
            </w:pPr>
            <w:r>
              <w:t xml:space="preserve">Paris</w:t>
            </w:r>
          </w:p>
        </w:tc>
        <w:tc>
          <w:tcPr/>
          <w:p>
            <w:pPr>
              <w:pStyle w:val="Compact"/>
            </w:pPr>
            <w:r>
              <w:t xml:space="preserve">France</w:t>
            </w:r>
          </w:p>
        </w:tc>
        <w:tc>
          <w:tcPr/>
          <w:p>
            <w:pPr>
              <w:pStyle w:val="Compact"/>
            </w:pPr>
            <w:r>
              <w:t xml:space="preserve">GRU</w:t>
            </w:r>
          </w:p>
        </w:tc>
        <w:tc>
          <w:tcPr/>
          <w:p>
            <w:pPr>
              <w:pStyle w:val="Compact"/>
            </w:pPr>
            <w:r>
              <w:t xml:space="preserve">1,3867</w:t>
            </w:r>
          </w:p>
        </w:tc>
        <w:tc>
          <w:tcPr/>
          <w:p>
            <w:pPr>
              <w:pStyle w:val="Compact"/>
            </w:pPr>
            <w:r>
              <w:t xml:space="preserve">1,4461</w:t>
            </w:r>
          </w:p>
        </w:tc>
        <w:tc>
          <w:tcPr/>
          <w:p>
            <w:pPr>
              <w:pStyle w:val="Compact"/>
            </w:pPr>
            <w:r>
              <w:t xml:space="preserve">4,1</w:t>
            </w:r>
          </w:p>
        </w:tc>
        <w:tc>
          <w:tcPr/>
          <w:p>
            <w:pPr>
              <w:pStyle w:val="Compact"/>
            </w:pPr>
            <w:r>
              <w:t xml:space="preserve">1,267</w:t>
            </w:r>
          </w:p>
        </w:tc>
        <w:tc>
          <w:tcPr/>
          <w:p>
            <w:pPr>
              <w:pStyle w:val="Compact"/>
            </w:pPr>
            <w:r>
              <w:t xml:space="preserve">1,428</w:t>
            </w:r>
          </w:p>
        </w:tc>
      </w:tr>
      <w:tr>
        <w:tc>
          <w:tcPr/>
          <w:p>
            <w:pPr>
              <w:pStyle w:val="Compact"/>
            </w:pPr>
            <w:r>
              <w:t xml:space="preserve">Strasbourg</w:t>
            </w:r>
          </w:p>
        </w:tc>
        <w:tc>
          <w:tcPr/>
          <w:p>
            <w:pPr>
              <w:pStyle w:val="Compact"/>
            </w:pPr>
            <w:r>
              <w:t xml:space="preserve">France</w:t>
            </w:r>
          </w:p>
        </w:tc>
        <w:tc>
          <w:tcPr/>
          <w:p>
            <w:pPr>
              <w:pStyle w:val="Compact"/>
            </w:pPr>
            <w:r>
              <w:t xml:space="preserve">LSTM global</w:t>
            </w:r>
          </w:p>
        </w:tc>
        <w:tc>
          <w:tcPr/>
          <w:p>
            <w:pPr>
              <w:pStyle w:val="Compact"/>
            </w:pPr>
            <w:r>
              <w:t xml:space="preserve">1,3825</w:t>
            </w:r>
          </w:p>
        </w:tc>
        <w:tc>
          <w:tcPr/>
          <w:p>
            <w:pPr>
              <w:pStyle w:val="Compact"/>
            </w:pPr>
            <w:r>
              <w:t xml:space="preserve">1,4330</w:t>
            </w:r>
          </w:p>
        </w:tc>
        <w:tc>
          <w:tcPr/>
          <w:p>
            <w:pPr>
              <w:pStyle w:val="Compact"/>
            </w:pPr>
            <w:r>
              <w:t xml:space="preserve">3,5</w:t>
            </w:r>
          </w:p>
        </w:tc>
        <w:tc>
          <w:tcPr/>
          <w:p>
            <w:pPr>
              <w:pStyle w:val="Compact"/>
            </w:pPr>
            <w:r>
              <w:t xml:space="preserve">1,230</w:t>
            </w:r>
          </w:p>
        </w:tc>
        <w:tc>
          <w:tcPr/>
          <w:p>
            <w:pPr>
              <w:pStyle w:val="Compact"/>
            </w:pPr>
            <w:r>
              <w:t xml:space="preserve">1,426</w:t>
            </w:r>
          </w:p>
        </w:tc>
      </w:tr>
      <w:tr>
        <w:tc>
          <w:tcPr/>
          <w:p>
            <w:pPr>
              <w:pStyle w:val="Compact"/>
            </w:pPr>
            <w:r>
              <w:t xml:space="preserve">Toulouse</w:t>
            </w:r>
          </w:p>
        </w:tc>
        <w:tc>
          <w:tcPr/>
          <w:p>
            <w:pPr>
              <w:pStyle w:val="Compact"/>
            </w:pPr>
            <w:r>
              <w:t xml:space="preserve">France</w:t>
            </w:r>
          </w:p>
        </w:tc>
        <w:tc>
          <w:tcPr/>
          <w:p>
            <w:pPr>
              <w:pStyle w:val="Compact"/>
            </w:pPr>
            <w:r>
              <w:t xml:space="preserve">GRU</w:t>
            </w:r>
          </w:p>
        </w:tc>
        <w:tc>
          <w:tcPr/>
          <w:p>
            <w:pPr>
              <w:pStyle w:val="Compact"/>
            </w:pPr>
            <w:r>
              <w:t xml:space="preserve">1,4213</w:t>
            </w:r>
          </w:p>
        </w:tc>
        <w:tc>
          <w:tcPr/>
          <w:p>
            <w:pPr>
              <w:pStyle w:val="Compact"/>
            </w:pPr>
            <w:r>
              <w:t xml:space="preserve">1,4476</w:t>
            </w:r>
          </w:p>
        </w:tc>
        <w:tc>
          <w:tcPr/>
          <w:p>
            <w:pPr>
              <w:pStyle w:val="Compact"/>
            </w:pPr>
            <w:r>
              <w:t xml:space="preserve">1,8</w:t>
            </w:r>
          </w:p>
        </w:tc>
        <w:tc>
          <w:tcPr/>
          <w:p>
            <w:pPr>
              <w:pStyle w:val="Compact"/>
            </w:pPr>
            <w:r>
              <w:t xml:space="preserve">1,343</w:t>
            </w:r>
          </w:p>
        </w:tc>
        <w:tc>
          <w:tcPr/>
          <w:p>
            <w:pPr>
              <w:pStyle w:val="Compact"/>
            </w:pPr>
            <w:r>
              <w:t xml:space="preserve">1,439</w:t>
            </w:r>
          </w:p>
        </w:tc>
      </w:tr>
      <w:tr>
        <w:tc>
          <w:tcPr/>
          <w:p>
            <w:pPr>
              <w:pStyle w:val="Compact"/>
            </w:pPr>
            <w:r>
              <w:t xml:space="preserve">Bizerte</w:t>
            </w:r>
          </w:p>
        </w:tc>
        <w:tc>
          <w:tcPr/>
          <w:p>
            <w:pPr>
              <w:pStyle w:val="Compact"/>
            </w:pPr>
            <w:r>
              <w:t xml:space="preserve">Tunisie</w:t>
            </w:r>
          </w:p>
        </w:tc>
        <w:tc>
          <w:tcPr/>
          <w:p>
            <w:pPr>
              <w:pStyle w:val="Compact"/>
            </w:pPr>
            <w:r>
              <w:t xml:space="preserve">LSTM global</w:t>
            </w:r>
          </w:p>
        </w:tc>
        <w:tc>
          <w:tcPr/>
          <w:p>
            <w:pPr>
              <w:pStyle w:val="Compact"/>
            </w:pPr>
            <w:r>
              <w:t xml:space="preserve">1,1377</w:t>
            </w:r>
          </w:p>
        </w:tc>
        <w:tc>
          <w:tcPr/>
          <w:p>
            <w:pPr>
              <w:pStyle w:val="Compact"/>
            </w:pPr>
            <w:r>
              <w:t xml:space="preserve">1,1671</w:t>
            </w:r>
          </w:p>
        </w:tc>
        <w:tc>
          <w:tcPr/>
          <w:p>
            <w:pPr>
              <w:pStyle w:val="Compact"/>
            </w:pPr>
            <w:r>
              <w:t xml:space="preserve">2,5</w:t>
            </w:r>
          </w:p>
        </w:tc>
        <w:tc>
          <w:tcPr/>
          <w:p>
            <w:pPr>
              <w:pStyle w:val="Compact"/>
            </w:pPr>
            <w:r>
              <w:t xml:space="preserve">1,032</w:t>
            </w:r>
          </w:p>
        </w:tc>
        <w:tc>
          <w:tcPr/>
          <w:p>
            <w:pPr>
              <w:pStyle w:val="Compact"/>
            </w:pPr>
            <w:r>
              <w:t xml:space="preserve">1,164</w:t>
            </w:r>
          </w:p>
        </w:tc>
      </w:tr>
      <w:tr>
        <w:tc>
          <w:tcPr/>
          <w:p>
            <w:pPr>
              <w:pStyle w:val="Compact"/>
            </w:pPr>
            <w:r>
              <w:t xml:space="preserve">Gabès</w:t>
            </w:r>
          </w:p>
        </w:tc>
        <w:tc>
          <w:tcPr/>
          <w:p>
            <w:pPr>
              <w:pStyle w:val="Compact"/>
            </w:pPr>
            <w:r>
              <w:t xml:space="preserve">Tunisie</w:t>
            </w:r>
          </w:p>
        </w:tc>
        <w:tc>
          <w:tcPr/>
          <w:p>
            <w:pPr>
              <w:pStyle w:val="Compact"/>
            </w:pPr>
            <w:r>
              <w:t xml:space="preserve">LSTM global</w:t>
            </w:r>
          </w:p>
        </w:tc>
        <w:tc>
          <w:tcPr/>
          <w:p>
            <w:pPr>
              <w:pStyle w:val="Compact"/>
            </w:pPr>
            <w:r>
              <w:t xml:space="preserve">0,8606</w:t>
            </w:r>
          </w:p>
        </w:tc>
        <w:tc>
          <w:tcPr/>
          <w:p>
            <w:pPr>
              <w:pStyle w:val="Compact"/>
            </w:pPr>
            <w:r>
              <w:t xml:space="preserve">0,8681</w:t>
            </w:r>
          </w:p>
        </w:tc>
        <w:tc>
          <w:tcPr/>
          <w:p>
            <w:pPr>
              <w:pStyle w:val="Compact"/>
            </w:pPr>
            <w:r>
              <w:t xml:space="preserve">0,9</w:t>
            </w:r>
          </w:p>
        </w:tc>
        <w:tc>
          <w:tcPr/>
          <w:p>
            <w:pPr>
              <w:pStyle w:val="Compact"/>
            </w:pPr>
            <w:r>
              <w:t xml:space="preserve">0,821</w:t>
            </w:r>
          </w:p>
        </w:tc>
        <w:tc>
          <w:tcPr/>
          <w:p>
            <w:pPr>
              <w:pStyle w:val="Compact"/>
            </w:pPr>
            <w:r>
              <w:t xml:space="preserve">0,869</w:t>
            </w:r>
          </w:p>
        </w:tc>
      </w:tr>
      <w:tr>
        <w:tc>
          <w:tcPr/>
          <w:p>
            <w:pPr>
              <w:pStyle w:val="Compact"/>
            </w:pPr>
            <w:r>
              <w:t xml:space="preserve">Gafsa</w:t>
            </w:r>
          </w:p>
        </w:tc>
        <w:tc>
          <w:tcPr/>
          <w:p>
            <w:pPr>
              <w:pStyle w:val="Compact"/>
            </w:pPr>
            <w:r>
              <w:t xml:space="preserve">Tunisie</w:t>
            </w:r>
          </w:p>
        </w:tc>
        <w:tc>
          <w:tcPr/>
          <w:p>
            <w:pPr>
              <w:pStyle w:val="Compact"/>
            </w:pPr>
            <w:r>
              <w:t xml:space="preserve">LSTM global</w:t>
            </w:r>
          </w:p>
        </w:tc>
        <w:tc>
          <w:tcPr/>
          <w:p>
            <w:pPr>
              <w:pStyle w:val="Compact"/>
            </w:pPr>
            <w:r>
              <w:t xml:space="preserve">0,7988</w:t>
            </w:r>
          </w:p>
        </w:tc>
        <w:tc>
          <w:tcPr/>
          <w:p>
            <w:pPr>
              <w:pStyle w:val="Compact"/>
            </w:pPr>
            <w:r>
              <w:t xml:space="preserve">0,8127</w:t>
            </w:r>
          </w:p>
        </w:tc>
        <w:tc>
          <w:tcPr/>
          <w:p>
            <w:pPr>
              <w:pStyle w:val="Compact"/>
            </w:pPr>
            <w:r>
              <w:t xml:space="preserve">1,7</w:t>
            </w:r>
          </w:p>
        </w:tc>
        <w:tc>
          <w:tcPr/>
          <w:p>
            <w:pPr>
              <w:pStyle w:val="Compact"/>
            </w:pPr>
            <w:r>
              <w:t xml:space="preserve">0,749</w:t>
            </w:r>
          </w:p>
        </w:tc>
        <w:tc>
          <w:tcPr/>
          <w:p>
            <w:pPr>
              <w:pStyle w:val="Compact"/>
            </w:pPr>
            <w:r>
              <w:t xml:space="preserve">0,811</w:t>
            </w:r>
          </w:p>
        </w:tc>
      </w:tr>
      <w:tr>
        <w:tc>
          <w:tcPr/>
          <w:p>
            <w:pPr>
              <w:pStyle w:val="Compact"/>
            </w:pPr>
            <w:r>
              <w:t xml:space="preserve">Kairouan</w:t>
            </w:r>
          </w:p>
        </w:tc>
        <w:tc>
          <w:tcPr/>
          <w:p>
            <w:pPr>
              <w:pStyle w:val="Compact"/>
            </w:pPr>
            <w:r>
              <w:t xml:space="preserve">Tunisie</w:t>
            </w:r>
          </w:p>
        </w:tc>
        <w:tc>
          <w:tcPr/>
          <w:p>
            <w:pPr>
              <w:pStyle w:val="Compact"/>
            </w:pPr>
            <w:r>
              <w:t xml:space="preserve">LSTM global</w:t>
            </w:r>
          </w:p>
        </w:tc>
        <w:tc>
          <w:tcPr/>
          <w:p>
            <w:pPr>
              <w:pStyle w:val="Compact"/>
            </w:pPr>
            <w:r>
              <w:t xml:space="preserve">0,9384</w:t>
            </w:r>
          </w:p>
        </w:tc>
        <w:tc>
          <w:tcPr/>
          <w:p>
            <w:pPr>
              <w:pStyle w:val="Compact"/>
            </w:pPr>
            <w:r>
              <w:t xml:space="preserve">0,9586</w:t>
            </w:r>
          </w:p>
        </w:tc>
        <w:tc>
          <w:tcPr/>
          <w:p>
            <w:pPr>
              <w:pStyle w:val="Compact"/>
            </w:pPr>
            <w:r>
              <w:t xml:space="preserve">2,1</w:t>
            </w:r>
          </w:p>
        </w:tc>
        <w:tc>
          <w:tcPr/>
          <w:p>
            <w:pPr>
              <w:pStyle w:val="Compact"/>
            </w:pPr>
            <w:r>
              <w:t xml:space="preserve">0,873</w:t>
            </w:r>
          </w:p>
        </w:tc>
        <w:tc>
          <w:tcPr/>
          <w:p>
            <w:pPr>
              <w:pStyle w:val="Compact"/>
            </w:pPr>
            <w:r>
              <w:t xml:space="preserve">0,955</w:t>
            </w:r>
          </w:p>
        </w:tc>
      </w:tr>
      <w:tr>
        <w:tc>
          <w:tcPr/>
          <w:p>
            <w:pPr>
              <w:pStyle w:val="Compact"/>
            </w:pPr>
            <w:r>
              <w:t xml:space="preserve">Médenine</w:t>
            </w:r>
          </w:p>
        </w:tc>
        <w:tc>
          <w:tcPr/>
          <w:p>
            <w:pPr>
              <w:pStyle w:val="Compact"/>
            </w:pPr>
            <w:r>
              <w:t xml:space="preserve">Tunisie</w:t>
            </w:r>
          </w:p>
        </w:tc>
        <w:tc>
          <w:tcPr/>
          <w:p>
            <w:pPr>
              <w:pStyle w:val="Compact"/>
            </w:pPr>
            <w:r>
              <w:t xml:space="preserve">LSTM global</w:t>
            </w:r>
          </w:p>
        </w:tc>
        <w:tc>
          <w:tcPr/>
          <w:p>
            <w:pPr>
              <w:pStyle w:val="Compact"/>
            </w:pPr>
            <w:r>
              <w:t xml:space="preserve">0,8044</w:t>
            </w:r>
          </w:p>
        </w:tc>
        <w:tc>
          <w:tcPr/>
          <w:p>
            <w:pPr>
              <w:pStyle w:val="Compact"/>
            </w:pPr>
            <w:r>
              <w:t xml:space="preserve">0,8119</w:t>
            </w:r>
          </w:p>
        </w:tc>
        <w:tc>
          <w:tcPr/>
          <w:p>
            <w:pPr>
              <w:pStyle w:val="Compact"/>
            </w:pPr>
            <w:r>
              <w:t xml:space="preserve">0,9</w:t>
            </w:r>
          </w:p>
        </w:tc>
        <w:tc>
          <w:tcPr/>
          <w:p>
            <w:pPr>
              <w:pStyle w:val="Compact"/>
            </w:pPr>
            <w:r>
              <w:t xml:space="preserve">0,760</w:t>
            </w:r>
          </w:p>
        </w:tc>
        <w:tc>
          <w:tcPr/>
          <w:p>
            <w:pPr>
              <w:pStyle w:val="Compact"/>
            </w:pPr>
            <w:r>
              <w:t xml:space="preserve">0,811</w:t>
            </w:r>
          </w:p>
        </w:tc>
      </w:tr>
      <w:tr>
        <w:tc>
          <w:tcPr/>
          <w:p>
            <w:pPr>
              <w:pStyle w:val="Compact"/>
            </w:pPr>
            <w:r>
              <w:t xml:space="preserve">Sfax</w:t>
            </w:r>
          </w:p>
        </w:tc>
        <w:tc>
          <w:tcPr/>
          <w:p>
            <w:pPr>
              <w:pStyle w:val="Compact"/>
            </w:pPr>
            <w:r>
              <w:t xml:space="preserve">Tunisie</w:t>
            </w:r>
          </w:p>
        </w:tc>
        <w:tc>
          <w:tcPr/>
          <w:p>
            <w:pPr>
              <w:pStyle w:val="Compact"/>
            </w:pPr>
            <w:r>
              <w:t xml:space="preserve">LSTM global</w:t>
            </w:r>
          </w:p>
        </w:tc>
        <w:tc>
          <w:tcPr/>
          <w:p>
            <w:pPr>
              <w:pStyle w:val="Compact"/>
            </w:pPr>
            <w:r>
              <w:t xml:space="preserve">0,9688</w:t>
            </w:r>
          </w:p>
        </w:tc>
        <w:tc>
          <w:tcPr/>
          <w:p>
            <w:pPr>
              <w:pStyle w:val="Compact"/>
            </w:pPr>
            <w:r>
              <w:t xml:space="preserve">0,9869</w:t>
            </w:r>
          </w:p>
        </w:tc>
        <w:tc>
          <w:tcPr/>
          <w:p>
            <w:pPr>
              <w:pStyle w:val="Compact"/>
            </w:pPr>
            <w:r>
              <w:t xml:space="preserve">1,8</w:t>
            </w:r>
          </w:p>
        </w:tc>
        <w:tc>
          <w:tcPr/>
          <w:p>
            <w:pPr>
              <w:pStyle w:val="Compact"/>
            </w:pPr>
            <w:r>
              <w:t xml:space="preserve">0,892</w:t>
            </w:r>
          </w:p>
        </w:tc>
        <w:tc>
          <w:tcPr/>
          <w:p>
            <w:pPr>
              <w:pStyle w:val="Compact"/>
            </w:pPr>
            <w:r>
              <w:t xml:space="preserve">0,988</w:t>
            </w:r>
          </w:p>
        </w:tc>
      </w:tr>
      <w:tr>
        <w:tc>
          <w:tcPr/>
          <w:p>
            <w:pPr>
              <w:pStyle w:val="Compact"/>
            </w:pPr>
            <w:r>
              <w:t xml:space="preserve">Sousse</w:t>
            </w:r>
          </w:p>
        </w:tc>
        <w:tc>
          <w:tcPr/>
          <w:p>
            <w:pPr>
              <w:pStyle w:val="Compact"/>
            </w:pPr>
            <w:r>
              <w:t xml:space="preserve">Tunisie</w:t>
            </w:r>
          </w:p>
        </w:tc>
        <w:tc>
          <w:tcPr/>
          <w:p>
            <w:pPr>
              <w:pStyle w:val="Compact"/>
            </w:pPr>
            <w:r>
              <w:t xml:space="preserve">LSTM global</w:t>
            </w:r>
          </w:p>
        </w:tc>
        <w:tc>
          <w:tcPr/>
          <w:p>
            <w:pPr>
              <w:pStyle w:val="Compact"/>
            </w:pPr>
            <w:r>
              <w:t xml:space="preserve">1,0658</w:t>
            </w:r>
          </w:p>
        </w:tc>
        <w:tc>
          <w:tcPr/>
          <w:p>
            <w:pPr>
              <w:pStyle w:val="Compact"/>
            </w:pPr>
            <w:r>
              <w:t xml:space="preserve">1,0916</w:t>
            </w:r>
          </w:p>
        </w:tc>
        <w:tc>
          <w:tcPr/>
          <w:p>
            <w:pPr>
              <w:pStyle w:val="Compact"/>
            </w:pPr>
            <w:r>
              <w:t xml:space="preserve">2,4</w:t>
            </w:r>
          </w:p>
        </w:tc>
        <w:tc>
          <w:tcPr/>
          <w:p>
            <w:pPr>
              <w:pStyle w:val="Compact"/>
            </w:pPr>
            <w:r>
              <w:t xml:space="preserve">0,968</w:t>
            </w:r>
          </w:p>
        </w:tc>
        <w:tc>
          <w:tcPr/>
          <w:p>
            <w:pPr>
              <w:pStyle w:val="Compact"/>
            </w:pPr>
            <w:r>
              <w:t xml:space="preserve">1,093</w:t>
            </w:r>
          </w:p>
        </w:tc>
      </w:tr>
      <w:tr>
        <w:tc>
          <w:tcPr/>
          <w:p>
            <w:pPr>
              <w:pStyle w:val="Compact"/>
            </w:pPr>
            <w:r>
              <w:t xml:space="preserve">Tataouine</w:t>
            </w:r>
          </w:p>
        </w:tc>
        <w:tc>
          <w:tcPr/>
          <w:p>
            <w:pPr>
              <w:pStyle w:val="Compact"/>
            </w:pPr>
            <w:r>
              <w:t xml:space="preserve">Tunisie</w:t>
            </w:r>
          </w:p>
        </w:tc>
        <w:tc>
          <w:tcPr/>
          <w:p>
            <w:pPr>
              <w:pStyle w:val="Compact"/>
            </w:pPr>
            <w:r>
              <w:t xml:space="preserve">GRU</w:t>
            </w:r>
          </w:p>
        </w:tc>
        <w:tc>
          <w:tcPr/>
          <w:p>
            <w:pPr>
              <w:pStyle w:val="Compact"/>
            </w:pPr>
            <w:r>
              <w:t xml:space="preserve">0,7593</w:t>
            </w:r>
          </w:p>
        </w:tc>
        <w:tc>
          <w:tcPr/>
          <w:p>
            <w:pPr>
              <w:pStyle w:val="Compact"/>
            </w:pPr>
            <w:r>
              <w:t xml:space="preserve">0,7710</w:t>
            </w:r>
          </w:p>
        </w:tc>
        <w:tc>
          <w:tcPr/>
          <w:p>
            <w:pPr>
              <w:pStyle w:val="Compact"/>
            </w:pPr>
            <w:r>
              <w:t xml:space="preserve">1,5</w:t>
            </w:r>
          </w:p>
        </w:tc>
        <w:tc>
          <w:tcPr/>
          <w:p>
            <w:pPr>
              <w:pStyle w:val="Compact"/>
            </w:pPr>
            <w:r>
              <w:t xml:space="preserve">0,713</w:t>
            </w:r>
          </w:p>
        </w:tc>
        <w:tc>
          <w:tcPr/>
          <w:p>
            <w:pPr>
              <w:pStyle w:val="Compact"/>
            </w:pPr>
            <w:r>
              <w:t xml:space="preserve">0,764</w:t>
            </w:r>
          </w:p>
        </w:tc>
      </w:tr>
      <w:tr>
        <w:tc>
          <w:tcPr/>
          <w:p>
            <w:pPr>
              <w:pStyle w:val="Compact"/>
            </w:pPr>
            <w:r>
              <w:t xml:space="preserve">Tozeur</w:t>
            </w:r>
          </w:p>
        </w:tc>
        <w:tc>
          <w:tcPr/>
          <w:p>
            <w:pPr>
              <w:pStyle w:val="Compact"/>
            </w:pPr>
            <w:r>
              <w:t xml:space="preserve">Tunisie</w:t>
            </w:r>
          </w:p>
        </w:tc>
        <w:tc>
          <w:tcPr/>
          <w:p>
            <w:pPr>
              <w:pStyle w:val="Compact"/>
            </w:pPr>
            <w:r>
              <w:t xml:space="preserve">GRU</w:t>
            </w:r>
          </w:p>
        </w:tc>
        <w:tc>
          <w:tcPr/>
          <w:p>
            <w:pPr>
              <w:pStyle w:val="Compact"/>
            </w:pPr>
            <w:r>
              <w:t xml:space="preserve">0,7448</w:t>
            </w:r>
          </w:p>
        </w:tc>
        <w:tc>
          <w:tcPr/>
          <w:p>
            <w:pPr>
              <w:pStyle w:val="Compact"/>
            </w:pPr>
            <w:r>
              <w:t xml:space="preserve">0,7592</w:t>
            </w:r>
          </w:p>
        </w:tc>
        <w:tc>
          <w:tcPr/>
          <w:p>
            <w:pPr>
              <w:pStyle w:val="Compact"/>
            </w:pPr>
            <w:r>
              <w:t xml:space="preserve">1,9</w:t>
            </w:r>
          </w:p>
        </w:tc>
        <w:tc>
          <w:tcPr/>
          <w:p>
            <w:pPr>
              <w:pStyle w:val="Compact"/>
            </w:pPr>
            <w:r>
              <w:t xml:space="preserve">0,712</w:t>
            </w:r>
          </w:p>
        </w:tc>
        <w:tc>
          <w:tcPr/>
          <w:p>
            <w:pPr>
              <w:pStyle w:val="Compact"/>
            </w:pPr>
            <w:r>
              <w:t xml:space="preserve">0,757</w:t>
            </w:r>
          </w:p>
        </w:tc>
      </w:tr>
      <w:tr>
        <w:tc>
          <w:tcPr/>
          <w:p>
            <w:pPr>
              <w:pStyle w:val="Compact"/>
            </w:pPr>
            <w:r>
              <w:t xml:space="preserve">Tunis</w:t>
            </w:r>
          </w:p>
        </w:tc>
        <w:tc>
          <w:tcPr/>
          <w:p>
            <w:pPr>
              <w:pStyle w:val="Compact"/>
            </w:pPr>
            <w:r>
              <w:t xml:space="preserve">Tunisie</w:t>
            </w:r>
          </w:p>
        </w:tc>
        <w:tc>
          <w:tcPr/>
          <w:p>
            <w:pPr>
              <w:pStyle w:val="Compact"/>
            </w:pPr>
            <w:r>
              <w:t xml:space="preserve">LSTM global</w:t>
            </w:r>
          </w:p>
        </w:tc>
        <w:tc>
          <w:tcPr/>
          <w:p>
            <w:pPr>
              <w:pStyle w:val="Compact"/>
            </w:pPr>
            <w:r>
              <w:t xml:space="preserve">1,0776</w:t>
            </w:r>
          </w:p>
        </w:tc>
        <w:tc>
          <w:tcPr/>
          <w:p>
            <w:pPr>
              <w:pStyle w:val="Compact"/>
            </w:pPr>
            <w:r>
              <w:t xml:space="preserve">1,1002</w:t>
            </w:r>
          </w:p>
        </w:tc>
        <w:tc>
          <w:tcPr/>
          <w:p>
            <w:pPr>
              <w:pStyle w:val="Compact"/>
            </w:pPr>
            <w:r>
              <w:t xml:space="preserve">2,1</w:t>
            </w:r>
          </w:p>
        </w:tc>
        <w:tc>
          <w:tcPr/>
          <w:p>
            <w:pPr>
              <w:pStyle w:val="Compact"/>
            </w:pPr>
            <w:r>
              <w:t xml:space="preserve">0,988</w:t>
            </w:r>
          </w:p>
        </w:tc>
        <w:tc>
          <w:tcPr/>
          <w:p>
            <w:pPr>
              <w:pStyle w:val="Compact"/>
            </w:pPr>
            <w:r>
              <w:t xml:space="preserve">1,099</w:t>
            </w:r>
          </w:p>
        </w:tc>
      </w:tr>
    </w:tbl>
    <w:p>
      <w:r>
        <w:br w:type="page"/>
      </w:r>
    </w:p>
    <w:bookmarkEnd w:id="98"/>
    <w:bookmarkStart w:id="99" w:name="X84fa73f099da4199cf118ef071c2e02a92c453d"/>
    <w:p>
      <w:pPr>
        <w:pStyle w:val="Heading1"/>
      </w:pPr>
      <w:r>
        <w:t xml:space="preserve">Annexe C. Technologie recommandée par ville</w:t>
      </w:r>
    </w:p>
    <w:p>
      <w:pPr>
        <w:pStyle w:val="TableCaption"/>
      </w:pPr>
      <w:r>
        <w:t xml:space="preserve">Recommandation et incertitude par ville.</w:t>
      </w:r>
    </w:p>
    <w:tbl>
      <w:tblPr>
        <w:tblStyle w:val="Table"/>
        <w:tblW w:type="pct" w:w="5000"/>
        <w:tblLayout w:type="fixed"/>
        <w:tblLook w:firstRow="1" w:lastRow="0" w:firstColumn="0" w:lastColumn="0" w:noHBand="0" w:noVBand="0" w:val="0020"/>
        <w:tblCaption w:val="Recommandation et incertitude par ville."/>
      </w:tblPr>
      <w:tblGrid>
        <w:gridCol w:w="1131"/>
        <w:gridCol w:w="1131"/>
        <w:gridCol w:w="1131"/>
        <w:gridCol w:w="1131"/>
        <w:gridCol w:w="1131"/>
        <w:gridCol w:w="1131"/>
        <w:gridCol w:w="1131"/>
      </w:tblGrid>
      <w:tr>
        <w:trPr>
          <w:tblHeader w:val="on"/>
        </w:trPr>
        <w:tc>
          <w:tcPr/>
          <w:p>
            <w:pPr>
              <w:pStyle w:val="Compact"/>
            </w:pPr>
            <w:r>
              <w:t xml:space="preserve">Ville</w:t>
            </w:r>
          </w:p>
        </w:tc>
        <w:tc>
          <w:tcPr/>
          <w:p>
            <w:pPr>
              <w:pStyle w:val="Compact"/>
            </w:pPr>
            <w:r>
              <w:t xml:space="preserve">Recommandée</w:t>
            </w:r>
          </w:p>
        </w:tc>
        <w:tc>
          <w:tcPr/>
          <w:p>
            <w:pPr>
              <w:pStyle w:val="Compact"/>
            </w:pPr>
            <w:r>
              <w:t xml:space="preserve">Score</w:t>
            </w:r>
          </w:p>
        </w:tc>
        <w:tc>
          <w:tcPr/>
          <w:p>
            <w:pPr>
              <w:pStyle w:val="Compact"/>
            </w:pPr>
            <w:r>
              <w:t xml:space="preserve">Deuxième</w:t>
            </w:r>
          </w:p>
        </w:tc>
        <w:tc>
          <w:tcPr/>
          <w:p>
            <w:pPr>
              <w:pStyle w:val="Compact"/>
            </w:pPr>
            <w:r>
              <w:t xml:space="preserve">Écart</w:t>
            </w:r>
          </w:p>
        </w:tc>
        <w:tc>
          <w:tcPr/>
          <w:p>
            <w:pPr>
              <w:pStyle w:val="Compact"/>
            </w:pPr>
            <w:r>
              <w:t xml:space="preserve">Probabilité (%)</w:t>
            </w:r>
          </w:p>
        </w:tc>
        <w:tc>
          <w:tcPr/>
          <w:p>
            <w:pPr>
              <w:pStyle w:val="Compact"/>
            </w:pPr>
            <w:r>
              <w:t xml:space="preserve">Verdict</w:t>
            </w:r>
          </w:p>
        </w:tc>
      </w:tr>
      <w:tr>
        <w:tc>
          <w:tcPr/>
          <w:p>
            <w:pPr>
              <w:pStyle w:val="Compact"/>
            </w:pPr>
            <w:r>
              <w:t xml:space="preserve">Barcelone</w:t>
            </w:r>
          </w:p>
        </w:tc>
        <w:tc>
          <w:tcPr/>
          <w:p>
            <w:pPr>
              <w:pStyle w:val="Compact"/>
            </w:pPr>
            <w:r>
              <w:t xml:space="preserve">CdTe</w:t>
            </w:r>
          </w:p>
        </w:tc>
        <w:tc>
          <w:tcPr/>
          <w:p>
            <w:pPr>
              <w:pStyle w:val="Compact"/>
            </w:pPr>
            <w:r>
              <w:t xml:space="preserve">0,657</w:t>
            </w:r>
          </w:p>
        </w:tc>
        <w:tc>
          <w:tcPr/>
          <w:p>
            <w:pPr>
              <w:pStyle w:val="Compact"/>
            </w:pPr>
            <w:r>
              <w:t xml:space="preserve">CIS</w:t>
            </w:r>
          </w:p>
        </w:tc>
        <w:tc>
          <w:tcPr/>
          <w:p>
            <w:pPr>
              <w:pStyle w:val="Compact"/>
            </w:pPr>
            <w:r>
              <w:t xml:space="preserve">0,000</w:t>
            </w:r>
          </w:p>
        </w:tc>
        <w:tc>
          <w:tcPr/>
          <w:p>
            <w:pPr>
              <w:pStyle w:val="Compact"/>
            </w:pPr>
            <w:r>
              <w:t xml:space="preserve">81</w:t>
            </w:r>
          </w:p>
        </w:tc>
        <w:tc>
          <w:tcPr/>
          <w:p>
            <w:pPr>
              <w:pStyle w:val="Compact"/>
            </w:pPr>
            <w:r>
              <w:t xml:space="preserve">ex æquo</w:t>
            </w:r>
          </w:p>
        </w:tc>
      </w:tr>
      <w:tr>
        <w:tc>
          <w:tcPr/>
          <w:p>
            <w:pPr>
              <w:pStyle w:val="Compact"/>
            </w:pPr>
            <w:r>
              <w:t xml:space="preserve">Bilbao</w:t>
            </w:r>
          </w:p>
        </w:tc>
        <w:tc>
          <w:tcPr/>
          <w:p>
            <w:pPr>
              <w:pStyle w:val="Compact"/>
            </w:pPr>
            <w:r>
              <w:t xml:space="preserve">CIS</w:t>
            </w:r>
          </w:p>
        </w:tc>
        <w:tc>
          <w:tcPr/>
          <w:p>
            <w:pPr>
              <w:pStyle w:val="Compact"/>
            </w:pPr>
            <w:r>
              <w:t xml:space="preserve">0,208</w:t>
            </w:r>
          </w:p>
        </w:tc>
        <w:tc>
          <w:tcPr/>
          <w:p>
            <w:pPr>
              <w:pStyle w:val="Compact"/>
            </w:pPr>
            <w:r>
              <w:t xml:space="preserve">crystSi</w:t>
            </w:r>
          </w:p>
        </w:tc>
        <w:tc>
          <w:tcPr/>
          <w:p>
            <w:pPr>
              <w:pStyle w:val="Compact"/>
            </w:pPr>
            <w:r>
              <w:t xml:space="preserve">0,051</w:t>
            </w:r>
          </w:p>
        </w:tc>
        <w:tc>
          <w:tcPr/>
          <w:p>
            <w:pPr>
              <w:pStyle w:val="Compact"/>
            </w:pPr>
            <w:r>
              <w:t xml:space="preserve">100</w:t>
            </w:r>
          </w:p>
        </w:tc>
        <w:tc>
          <w:tcPr/>
          <w:p>
            <w:pPr>
              <w:pStyle w:val="Compact"/>
            </w:pPr>
            <w:r>
              <w:t xml:space="preserve">nette</w:t>
            </w:r>
          </w:p>
        </w:tc>
      </w:tr>
      <w:tr>
        <w:tc>
          <w:tcPr/>
          <w:p>
            <w:pPr>
              <w:pStyle w:val="Compact"/>
            </w:pPr>
            <w:r>
              <w:t xml:space="preserve">Grenade</w:t>
            </w:r>
          </w:p>
        </w:tc>
        <w:tc>
          <w:tcPr/>
          <w:p>
            <w:pPr>
              <w:pStyle w:val="Compact"/>
            </w:pPr>
            <w:r>
              <w:t xml:space="preserve">CIS</w:t>
            </w:r>
          </w:p>
        </w:tc>
        <w:tc>
          <w:tcPr/>
          <w:p>
            <w:pPr>
              <w:pStyle w:val="Compact"/>
            </w:pPr>
            <w:r>
              <w:t xml:space="preserve">0,743</w:t>
            </w:r>
          </w:p>
        </w:tc>
        <w:tc>
          <w:tcPr/>
          <w:p>
            <w:pPr>
              <w:pStyle w:val="Compact"/>
            </w:pPr>
            <w:r>
              <w:t xml:space="preserve">CdTe</w:t>
            </w:r>
          </w:p>
        </w:tc>
        <w:tc>
          <w:tcPr/>
          <w:p>
            <w:pPr>
              <w:pStyle w:val="Compact"/>
            </w:pPr>
            <w:r>
              <w:t xml:space="preserve">0,008</w:t>
            </w:r>
          </w:p>
        </w:tc>
        <w:tc>
          <w:tcPr/>
          <w:p>
            <w:pPr>
              <w:pStyle w:val="Compact"/>
            </w:pPr>
            <w:r>
              <w:t xml:space="preserve">68</w:t>
            </w:r>
          </w:p>
        </w:tc>
        <w:tc>
          <w:tcPr/>
          <w:p>
            <w:pPr>
              <w:pStyle w:val="Compact"/>
            </w:pPr>
            <w:r>
              <w:t xml:space="preserve">ex æquo</w:t>
            </w:r>
          </w:p>
        </w:tc>
      </w:tr>
      <w:tr>
        <w:tc>
          <w:tcPr/>
          <w:p>
            <w:pPr>
              <w:pStyle w:val="Compact"/>
            </w:pPr>
            <w:r>
              <w:t xml:space="preserve">Madrid</w:t>
            </w:r>
          </w:p>
        </w:tc>
        <w:tc>
          <w:tcPr/>
          <w:p>
            <w:pPr>
              <w:pStyle w:val="Compact"/>
            </w:pPr>
            <w:r>
              <w:t xml:space="preserve">CdTe</w:t>
            </w:r>
          </w:p>
        </w:tc>
        <w:tc>
          <w:tcPr/>
          <w:p>
            <w:pPr>
              <w:pStyle w:val="Compact"/>
            </w:pPr>
            <w:r>
              <w:t xml:space="preserve">0,755</w:t>
            </w:r>
          </w:p>
        </w:tc>
        <w:tc>
          <w:tcPr/>
          <w:p>
            <w:pPr>
              <w:pStyle w:val="Compact"/>
            </w:pPr>
            <w:r>
              <w:t xml:space="preserve">CIS</w:t>
            </w:r>
          </w:p>
        </w:tc>
        <w:tc>
          <w:tcPr/>
          <w:p>
            <w:pPr>
              <w:pStyle w:val="Compact"/>
            </w:pPr>
            <w:r>
              <w:t xml:space="preserve">0,006</w:t>
            </w:r>
          </w:p>
        </w:tc>
        <w:tc>
          <w:tcPr/>
          <w:p>
            <w:pPr>
              <w:pStyle w:val="Compact"/>
            </w:pPr>
            <w:r>
              <w:t xml:space="preserve">77</w:t>
            </w:r>
          </w:p>
        </w:tc>
        <w:tc>
          <w:tcPr/>
          <w:p>
            <w:pPr>
              <w:pStyle w:val="Compact"/>
            </w:pPr>
            <w:r>
              <w:t xml:space="preserve">ex æquo</w:t>
            </w:r>
          </w:p>
        </w:tc>
      </w:tr>
      <w:tr>
        <w:tc>
          <w:tcPr/>
          <w:p>
            <w:pPr>
              <w:pStyle w:val="Compact"/>
            </w:pPr>
            <w:r>
              <w:t xml:space="preserve">Malaga</w:t>
            </w:r>
          </w:p>
        </w:tc>
        <w:tc>
          <w:tcPr/>
          <w:p>
            <w:pPr>
              <w:pStyle w:val="Compact"/>
            </w:pPr>
            <w:r>
              <w:t xml:space="preserve">CdTe</w:t>
            </w:r>
          </w:p>
        </w:tc>
        <w:tc>
          <w:tcPr/>
          <w:p>
            <w:pPr>
              <w:pStyle w:val="Compact"/>
            </w:pPr>
            <w:r>
              <w:t xml:space="preserve">0,861</w:t>
            </w:r>
          </w:p>
        </w:tc>
        <w:tc>
          <w:tcPr/>
          <w:p>
            <w:pPr>
              <w:pStyle w:val="Compact"/>
            </w:pPr>
            <w:r>
              <w:t xml:space="preserve">CIS</w:t>
            </w:r>
          </w:p>
        </w:tc>
        <w:tc>
          <w:tcPr/>
          <w:p>
            <w:pPr>
              <w:pStyle w:val="Compact"/>
            </w:pPr>
            <w:r>
              <w:t xml:space="preserve">0,048</w:t>
            </w:r>
          </w:p>
        </w:tc>
        <w:tc>
          <w:tcPr/>
          <w:p>
            <w:pPr>
              <w:pStyle w:val="Compact"/>
            </w:pPr>
            <w:r>
              <w:t xml:space="preserve">100</w:t>
            </w:r>
          </w:p>
        </w:tc>
        <w:tc>
          <w:tcPr/>
          <w:p>
            <w:pPr>
              <w:pStyle w:val="Compact"/>
            </w:pPr>
            <w:r>
              <w:t xml:space="preserve">nette</w:t>
            </w:r>
          </w:p>
        </w:tc>
      </w:tr>
      <w:tr>
        <w:tc>
          <w:tcPr/>
          <w:p>
            <w:pPr>
              <w:pStyle w:val="Compact"/>
            </w:pPr>
            <w:r>
              <w:t xml:space="preserve">Murcie</w:t>
            </w:r>
          </w:p>
        </w:tc>
        <w:tc>
          <w:tcPr/>
          <w:p>
            <w:pPr>
              <w:pStyle w:val="Compact"/>
            </w:pPr>
            <w:r>
              <w:t xml:space="preserve">CdTe</w:t>
            </w:r>
          </w:p>
        </w:tc>
        <w:tc>
          <w:tcPr/>
          <w:p>
            <w:pPr>
              <w:pStyle w:val="Compact"/>
            </w:pPr>
            <w:r>
              <w:t xml:space="preserve">0,762</w:t>
            </w:r>
          </w:p>
        </w:tc>
        <w:tc>
          <w:tcPr/>
          <w:p>
            <w:pPr>
              <w:pStyle w:val="Compact"/>
            </w:pPr>
            <w:r>
              <w:t xml:space="preserve">CIS</w:t>
            </w:r>
          </w:p>
        </w:tc>
        <w:tc>
          <w:tcPr/>
          <w:p>
            <w:pPr>
              <w:pStyle w:val="Compact"/>
            </w:pPr>
            <w:r>
              <w:t xml:space="preserve">0,017</w:t>
            </w:r>
          </w:p>
        </w:tc>
        <w:tc>
          <w:tcPr/>
          <w:p>
            <w:pPr>
              <w:pStyle w:val="Compact"/>
            </w:pPr>
            <w:r>
              <w:t xml:space="preserve">100</w:t>
            </w:r>
          </w:p>
        </w:tc>
        <w:tc>
          <w:tcPr/>
          <w:p>
            <w:pPr>
              <w:pStyle w:val="Compact"/>
            </w:pPr>
            <w:r>
              <w:t xml:space="preserve">nette</w:t>
            </w:r>
          </w:p>
        </w:tc>
      </w:tr>
      <w:tr>
        <w:tc>
          <w:tcPr/>
          <w:p>
            <w:pPr>
              <w:pStyle w:val="Compact"/>
            </w:pPr>
            <w:r>
              <w:t xml:space="preserve">Palma</w:t>
            </w:r>
          </w:p>
        </w:tc>
        <w:tc>
          <w:tcPr/>
          <w:p>
            <w:pPr>
              <w:pStyle w:val="Compact"/>
            </w:pPr>
            <w:r>
              <w:t xml:space="preserve">CdTe</w:t>
            </w:r>
          </w:p>
        </w:tc>
        <w:tc>
          <w:tcPr/>
          <w:p>
            <w:pPr>
              <w:pStyle w:val="Compact"/>
            </w:pPr>
            <w:r>
              <w:t xml:space="preserve">0,790</w:t>
            </w:r>
          </w:p>
        </w:tc>
        <w:tc>
          <w:tcPr/>
          <w:p>
            <w:pPr>
              <w:pStyle w:val="Compact"/>
            </w:pPr>
            <w:r>
              <w:t xml:space="preserve">CIS</w:t>
            </w:r>
          </w:p>
        </w:tc>
        <w:tc>
          <w:tcPr/>
          <w:p>
            <w:pPr>
              <w:pStyle w:val="Compact"/>
            </w:pPr>
            <w:r>
              <w:t xml:space="preserve">0,028</w:t>
            </w:r>
          </w:p>
        </w:tc>
        <w:tc>
          <w:tcPr/>
          <w:p>
            <w:pPr>
              <w:pStyle w:val="Compact"/>
            </w:pPr>
            <w:r>
              <w:t xml:space="preserve">100</w:t>
            </w:r>
          </w:p>
        </w:tc>
        <w:tc>
          <w:tcPr/>
          <w:p>
            <w:pPr>
              <w:pStyle w:val="Compact"/>
            </w:pPr>
            <w:r>
              <w:t xml:space="preserve">nette</w:t>
            </w:r>
          </w:p>
        </w:tc>
      </w:tr>
      <w:tr>
        <w:tc>
          <w:tcPr/>
          <w:p>
            <w:pPr>
              <w:pStyle w:val="Compact"/>
            </w:pPr>
            <w:r>
              <w:t xml:space="preserve">Saragosse</w:t>
            </w:r>
          </w:p>
        </w:tc>
        <w:tc>
          <w:tcPr/>
          <w:p>
            <w:pPr>
              <w:pStyle w:val="Compact"/>
            </w:pPr>
            <w:r>
              <w:t xml:space="preserve">CdTe</w:t>
            </w:r>
          </w:p>
        </w:tc>
        <w:tc>
          <w:tcPr/>
          <w:p>
            <w:pPr>
              <w:pStyle w:val="Compact"/>
            </w:pPr>
            <w:r>
              <w:t xml:space="preserve">0,730</w:t>
            </w:r>
          </w:p>
        </w:tc>
        <w:tc>
          <w:tcPr/>
          <w:p>
            <w:pPr>
              <w:pStyle w:val="Compact"/>
            </w:pPr>
            <w:r>
              <w:t xml:space="preserve">CIS</w:t>
            </w:r>
          </w:p>
        </w:tc>
        <w:tc>
          <w:tcPr/>
          <w:p>
            <w:pPr>
              <w:pStyle w:val="Compact"/>
            </w:pPr>
            <w:r>
              <w:t xml:space="preserve">0,018</w:t>
            </w:r>
          </w:p>
        </w:tc>
        <w:tc>
          <w:tcPr/>
          <w:p>
            <w:pPr>
              <w:pStyle w:val="Compact"/>
            </w:pPr>
            <w:r>
              <w:t xml:space="preserve">99</w:t>
            </w:r>
          </w:p>
        </w:tc>
        <w:tc>
          <w:tcPr/>
          <w:p>
            <w:pPr>
              <w:pStyle w:val="Compact"/>
            </w:pPr>
            <w:r>
              <w:t xml:space="preserve">nette</w:t>
            </w:r>
          </w:p>
        </w:tc>
      </w:tr>
      <w:tr>
        <w:tc>
          <w:tcPr/>
          <w:p>
            <w:pPr>
              <w:pStyle w:val="Compact"/>
            </w:pPr>
            <w:r>
              <w:t xml:space="preserve">Séville</w:t>
            </w:r>
          </w:p>
        </w:tc>
        <w:tc>
          <w:tcPr/>
          <w:p>
            <w:pPr>
              <w:pStyle w:val="Compact"/>
            </w:pPr>
            <w:r>
              <w:t xml:space="preserve">CdTe</w:t>
            </w:r>
          </w:p>
        </w:tc>
        <w:tc>
          <w:tcPr/>
          <w:p>
            <w:pPr>
              <w:pStyle w:val="Compact"/>
            </w:pPr>
            <w:r>
              <w:t xml:space="preserve">0,899</w:t>
            </w:r>
          </w:p>
        </w:tc>
        <w:tc>
          <w:tcPr/>
          <w:p>
            <w:pPr>
              <w:pStyle w:val="Compact"/>
            </w:pPr>
            <w:r>
              <w:t xml:space="preserve">CIS</w:t>
            </w:r>
          </w:p>
        </w:tc>
        <w:tc>
          <w:tcPr/>
          <w:p>
            <w:pPr>
              <w:pStyle w:val="Compact"/>
            </w:pPr>
            <w:r>
              <w:t xml:space="preserve">0,034</w:t>
            </w:r>
          </w:p>
        </w:tc>
        <w:tc>
          <w:tcPr/>
          <w:p>
            <w:pPr>
              <w:pStyle w:val="Compact"/>
            </w:pPr>
            <w:r>
              <w:t xml:space="preserve">100</w:t>
            </w:r>
          </w:p>
        </w:tc>
        <w:tc>
          <w:tcPr/>
          <w:p>
            <w:pPr>
              <w:pStyle w:val="Compact"/>
            </w:pPr>
            <w:r>
              <w:t xml:space="preserve">nette</w:t>
            </w:r>
          </w:p>
        </w:tc>
      </w:tr>
      <w:tr>
        <w:tc>
          <w:tcPr/>
          <w:p>
            <w:pPr>
              <w:pStyle w:val="Compact"/>
            </w:pPr>
            <w:r>
              <w:t xml:space="preserve">Valence</w:t>
            </w:r>
          </w:p>
        </w:tc>
        <w:tc>
          <w:tcPr/>
          <w:p>
            <w:pPr>
              <w:pStyle w:val="Compact"/>
            </w:pPr>
            <w:r>
              <w:t xml:space="preserve">CdTe</w:t>
            </w:r>
          </w:p>
        </w:tc>
        <w:tc>
          <w:tcPr/>
          <w:p>
            <w:pPr>
              <w:pStyle w:val="Compact"/>
            </w:pPr>
            <w:r>
              <w:t xml:space="preserve">0,783</w:t>
            </w:r>
          </w:p>
        </w:tc>
        <w:tc>
          <w:tcPr/>
          <w:p>
            <w:pPr>
              <w:pStyle w:val="Compact"/>
            </w:pPr>
            <w:r>
              <w:t xml:space="preserve">CIS</w:t>
            </w:r>
          </w:p>
        </w:tc>
        <w:tc>
          <w:tcPr/>
          <w:p>
            <w:pPr>
              <w:pStyle w:val="Compact"/>
            </w:pPr>
            <w:r>
              <w:t xml:space="preserve">0,018</w:t>
            </w:r>
          </w:p>
        </w:tc>
        <w:tc>
          <w:tcPr/>
          <w:p>
            <w:pPr>
              <w:pStyle w:val="Compact"/>
            </w:pPr>
            <w:r>
              <w:t xml:space="preserve">100</w:t>
            </w:r>
          </w:p>
        </w:tc>
        <w:tc>
          <w:tcPr/>
          <w:p>
            <w:pPr>
              <w:pStyle w:val="Compact"/>
            </w:pPr>
            <w:r>
              <w:t xml:space="preserve">nette</w:t>
            </w:r>
          </w:p>
        </w:tc>
      </w:tr>
      <w:tr>
        <w:tc>
          <w:tcPr/>
          <w:p>
            <w:pPr>
              <w:pStyle w:val="Compact"/>
            </w:pPr>
            <w:r>
              <w:t xml:space="preserve">Bordeaux</w:t>
            </w:r>
          </w:p>
        </w:tc>
        <w:tc>
          <w:tcPr/>
          <w:p>
            <w:pPr>
              <w:pStyle w:val="Compact"/>
            </w:pPr>
            <w:r>
              <w:t xml:space="preserve">CIS</w:t>
            </w:r>
          </w:p>
        </w:tc>
        <w:tc>
          <w:tcPr/>
          <w:p>
            <w:pPr>
              <w:pStyle w:val="Compact"/>
            </w:pPr>
            <w:r>
              <w:t xml:space="preserve">0,511</w:t>
            </w:r>
          </w:p>
        </w:tc>
        <w:tc>
          <w:tcPr/>
          <w:p>
            <w:pPr>
              <w:pStyle w:val="Compact"/>
            </w:pPr>
            <w:r>
              <w:t xml:space="preserve">CdTe</w:t>
            </w:r>
          </w:p>
        </w:tc>
        <w:tc>
          <w:tcPr/>
          <w:p>
            <w:pPr>
              <w:pStyle w:val="Compact"/>
            </w:pPr>
            <w:r>
              <w:t xml:space="preserve">0,041</w:t>
            </w:r>
          </w:p>
        </w:tc>
        <w:tc>
          <w:tcPr/>
          <w:p>
            <w:pPr>
              <w:pStyle w:val="Compact"/>
            </w:pPr>
            <w:r>
              <w:t xml:space="preserve">100</w:t>
            </w:r>
          </w:p>
        </w:tc>
        <w:tc>
          <w:tcPr/>
          <w:p>
            <w:pPr>
              <w:pStyle w:val="Compact"/>
            </w:pPr>
            <w:r>
              <w:t xml:space="preserve">nette</w:t>
            </w:r>
          </w:p>
        </w:tc>
      </w:tr>
      <w:tr>
        <w:tc>
          <w:tcPr/>
          <w:p>
            <w:pPr>
              <w:pStyle w:val="Compact"/>
            </w:pPr>
            <w:r>
              <w:t xml:space="preserve">Lille</w:t>
            </w:r>
          </w:p>
        </w:tc>
        <w:tc>
          <w:tcPr/>
          <w:p>
            <w:pPr>
              <w:pStyle w:val="Compact"/>
            </w:pPr>
            <w:r>
              <w:t xml:space="preserve">CIS</w:t>
            </w:r>
          </w:p>
        </w:tc>
        <w:tc>
          <w:tcPr/>
          <w:p>
            <w:pPr>
              <w:pStyle w:val="Compact"/>
            </w:pPr>
            <w:r>
              <w:t xml:space="preserve">0,307</w:t>
            </w:r>
          </w:p>
        </w:tc>
        <w:tc>
          <w:tcPr/>
          <w:p>
            <w:pPr>
              <w:pStyle w:val="Compact"/>
            </w:pPr>
            <w:r>
              <w:t xml:space="preserve">crystSi</w:t>
            </w:r>
          </w:p>
        </w:tc>
        <w:tc>
          <w:tcPr/>
          <w:p>
            <w:pPr>
              <w:pStyle w:val="Compact"/>
            </w:pPr>
            <w:r>
              <w:t xml:space="preserve">0,079</w:t>
            </w:r>
          </w:p>
        </w:tc>
        <w:tc>
          <w:tcPr/>
          <w:p>
            <w:pPr>
              <w:pStyle w:val="Compact"/>
            </w:pPr>
            <w:r>
              <w:t xml:space="preserve">100</w:t>
            </w:r>
          </w:p>
        </w:tc>
        <w:tc>
          <w:tcPr/>
          <w:p>
            <w:pPr>
              <w:pStyle w:val="Compact"/>
            </w:pPr>
            <w:r>
              <w:t xml:space="preserve">nette</w:t>
            </w:r>
          </w:p>
        </w:tc>
      </w:tr>
      <w:tr>
        <w:tc>
          <w:tcPr/>
          <w:p>
            <w:pPr>
              <w:pStyle w:val="Compact"/>
            </w:pPr>
            <w:r>
              <w:t xml:space="preserve">Lyon</w:t>
            </w:r>
          </w:p>
        </w:tc>
        <w:tc>
          <w:tcPr/>
          <w:p>
            <w:pPr>
              <w:pStyle w:val="Compact"/>
            </w:pPr>
            <w:r>
              <w:t xml:space="preserve">CIS</w:t>
            </w:r>
          </w:p>
        </w:tc>
        <w:tc>
          <w:tcPr/>
          <w:p>
            <w:pPr>
              <w:pStyle w:val="Compact"/>
            </w:pPr>
            <w:r>
              <w:t xml:space="preserve">0,508</w:t>
            </w:r>
          </w:p>
        </w:tc>
        <w:tc>
          <w:tcPr/>
          <w:p>
            <w:pPr>
              <w:pStyle w:val="Compact"/>
            </w:pPr>
            <w:r>
              <w:t xml:space="preserve">crystSi</w:t>
            </w:r>
          </w:p>
        </w:tc>
        <w:tc>
          <w:tcPr/>
          <w:p>
            <w:pPr>
              <w:pStyle w:val="Compact"/>
            </w:pPr>
            <w:r>
              <w:t xml:space="preserve">0,065</w:t>
            </w:r>
          </w:p>
        </w:tc>
        <w:tc>
          <w:tcPr/>
          <w:p>
            <w:pPr>
              <w:pStyle w:val="Compact"/>
            </w:pPr>
            <w:r>
              <w:t xml:space="preserve">100</w:t>
            </w:r>
          </w:p>
        </w:tc>
        <w:tc>
          <w:tcPr/>
          <w:p>
            <w:pPr>
              <w:pStyle w:val="Compact"/>
            </w:pPr>
            <w:r>
              <w:t xml:space="preserve">nette</w:t>
            </w:r>
          </w:p>
        </w:tc>
      </w:tr>
      <w:tr>
        <w:tc>
          <w:tcPr/>
          <w:p>
            <w:pPr>
              <w:pStyle w:val="Compact"/>
            </w:pPr>
            <w:r>
              <w:t xml:space="preserve">Marseille</w:t>
            </w:r>
          </w:p>
        </w:tc>
        <w:tc>
          <w:tcPr/>
          <w:p>
            <w:pPr>
              <w:pStyle w:val="Compact"/>
            </w:pPr>
            <w:r>
              <w:t xml:space="preserve">CdTe</w:t>
            </w:r>
          </w:p>
        </w:tc>
        <w:tc>
          <w:tcPr/>
          <w:p>
            <w:pPr>
              <w:pStyle w:val="Compact"/>
            </w:pPr>
            <w:r>
              <w:t xml:space="preserve">0,892</w:t>
            </w:r>
          </w:p>
        </w:tc>
        <w:tc>
          <w:tcPr/>
          <w:p>
            <w:pPr>
              <w:pStyle w:val="Compact"/>
            </w:pPr>
            <w:r>
              <w:t xml:space="preserve">CIS</w:t>
            </w:r>
          </w:p>
        </w:tc>
        <w:tc>
          <w:tcPr/>
          <w:p>
            <w:pPr>
              <w:pStyle w:val="Compact"/>
            </w:pPr>
            <w:r>
              <w:t xml:space="preserve">0,019</w:t>
            </w:r>
          </w:p>
        </w:tc>
        <w:tc>
          <w:tcPr/>
          <w:p>
            <w:pPr>
              <w:pStyle w:val="Compact"/>
            </w:pPr>
            <w:r>
              <w:t xml:space="preserve">100</w:t>
            </w:r>
          </w:p>
        </w:tc>
        <w:tc>
          <w:tcPr/>
          <w:p>
            <w:pPr>
              <w:pStyle w:val="Compact"/>
            </w:pPr>
            <w:r>
              <w:t xml:space="preserve">nette</w:t>
            </w:r>
          </w:p>
        </w:tc>
      </w:tr>
      <w:tr>
        <w:tc>
          <w:tcPr/>
          <w:p>
            <w:pPr>
              <w:pStyle w:val="Compact"/>
            </w:pPr>
            <w:r>
              <w:t xml:space="preserve">Montpellier</w:t>
            </w:r>
          </w:p>
        </w:tc>
        <w:tc>
          <w:tcPr/>
          <w:p>
            <w:pPr>
              <w:pStyle w:val="Compact"/>
            </w:pPr>
            <w:r>
              <w:t xml:space="preserve">CIS</w:t>
            </w:r>
          </w:p>
        </w:tc>
        <w:tc>
          <w:tcPr/>
          <w:p>
            <w:pPr>
              <w:pStyle w:val="Compact"/>
            </w:pPr>
            <w:r>
              <w:t xml:space="preserve">0,730</w:t>
            </w:r>
          </w:p>
        </w:tc>
        <w:tc>
          <w:tcPr/>
          <w:p>
            <w:pPr>
              <w:pStyle w:val="Compact"/>
            </w:pPr>
            <w:r>
              <w:t xml:space="preserve">CdTe</w:t>
            </w:r>
          </w:p>
        </w:tc>
        <w:tc>
          <w:tcPr/>
          <w:p>
            <w:pPr>
              <w:pStyle w:val="Compact"/>
            </w:pPr>
            <w:r>
              <w:t xml:space="preserve">0,009</w:t>
            </w:r>
          </w:p>
        </w:tc>
        <w:tc>
          <w:tcPr/>
          <w:p>
            <w:pPr>
              <w:pStyle w:val="Compact"/>
            </w:pPr>
            <w:r>
              <w:t xml:space="preserve">100</w:t>
            </w:r>
          </w:p>
        </w:tc>
        <w:tc>
          <w:tcPr/>
          <w:p>
            <w:pPr>
              <w:pStyle w:val="Compact"/>
            </w:pPr>
            <w:r>
              <w:t xml:space="preserve">nette</w:t>
            </w:r>
          </w:p>
        </w:tc>
      </w:tr>
      <w:tr>
        <w:tc>
          <w:tcPr/>
          <w:p>
            <w:pPr>
              <w:pStyle w:val="Compact"/>
            </w:pPr>
            <w:r>
              <w:t xml:space="preserve">Nantes</w:t>
            </w:r>
          </w:p>
        </w:tc>
        <w:tc>
          <w:tcPr/>
          <w:p>
            <w:pPr>
              <w:pStyle w:val="Compact"/>
            </w:pPr>
            <w:r>
              <w:t xml:space="preserve">CIS</w:t>
            </w:r>
          </w:p>
        </w:tc>
        <w:tc>
          <w:tcPr/>
          <w:p>
            <w:pPr>
              <w:pStyle w:val="Compact"/>
            </w:pPr>
            <w:r>
              <w:t xml:space="preserve">0,419</w:t>
            </w:r>
          </w:p>
        </w:tc>
        <w:tc>
          <w:tcPr/>
          <w:p>
            <w:pPr>
              <w:pStyle w:val="Compact"/>
            </w:pPr>
            <w:r>
              <w:t xml:space="preserve">crystSi</w:t>
            </w:r>
          </w:p>
        </w:tc>
        <w:tc>
          <w:tcPr/>
          <w:p>
            <w:pPr>
              <w:pStyle w:val="Compact"/>
            </w:pPr>
            <w:r>
              <w:t xml:space="preserve">0,055</w:t>
            </w:r>
          </w:p>
        </w:tc>
        <w:tc>
          <w:tcPr/>
          <w:p>
            <w:pPr>
              <w:pStyle w:val="Compact"/>
            </w:pPr>
            <w:r>
              <w:t xml:space="preserve">100</w:t>
            </w:r>
          </w:p>
        </w:tc>
        <w:tc>
          <w:tcPr/>
          <w:p>
            <w:pPr>
              <w:pStyle w:val="Compact"/>
            </w:pPr>
            <w:r>
              <w:t xml:space="preserve">nette</w:t>
            </w:r>
          </w:p>
        </w:tc>
      </w:tr>
      <w:tr>
        <w:tc>
          <w:tcPr/>
          <w:p>
            <w:pPr>
              <w:pStyle w:val="Compact"/>
            </w:pPr>
            <w:r>
              <w:t xml:space="preserve">Nice</w:t>
            </w:r>
          </w:p>
        </w:tc>
        <w:tc>
          <w:tcPr/>
          <w:p>
            <w:pPr>
              <w:pStyle w:val="Compact"/>
            </w:pPr>
            <w:r>
              <w:t xml:space="preserve">CIS</w:t>
            </w:r>
          </w:p>
        </w:tc>
        <w:tc>
          <w:tcPr/>
          <w:p>
            <w:pPr>
              <w:pStyle w:val="Compact"/>
            </w:pPr>
            <w:r>
              <w:t xml:space="preserve">0,779</w:t>
            </w:r>
          </w:p>
        </w:tc>
        <w:tc>
          <w:tcPr/>
          <w:p>
            <w:pPr>
              <w:pStyle w:val="Compact"/>
            </w:pPr>
            <w:r>
              <w:t xml:space="preserve">CdTe</w:t>
            </w:r>
          </w:p>
        </w:tc>
        <w:tc>
          <w:tcPr/>
          <w:p>
            <w:pPr>
              <w:pStyle w:val="Compact"/>
            </w:pPr>
            <w:r>
              <w:t xml:space="preserve">0,019</w:t>
            </w:r>
          </w:p>
        </w:tc>
        <w:tc>
          <w:tcPr/>
          <w:p>
            <w:pPr>
              <w:pStyle w:val="Compact"/>
            </w:pPr>
            <w:r>
              <w:t xml:space="preserve">100</w:t>
            </w:r>
          </w:p>
        </w:tc>
        <w:tc>
          <w:tcPr/>
          <w:p>
            <w:pPr>
              <w:pStyle w:val="Compact"/>
            </w:pPr>
            <w:r>
              <w:t xml:space="preserve">nette</w:t>
            </w:r>
          </w:p>
        </w:tc>
      </w:tr>
      <w:tr>
        <w:tc>
          <w:tcPr/>
          <w:p>
            <w:pPr>
              <w:pStyle w:val="Compact"/>
            </w:pPr>
            <w:r>
              <w:t xml:space="preserve">Paris</w:t>
            </w:r>
          </w:p>
        </w:tc>
        <w:tc>
          <w:tcPr/>
          <w:p>
            <w:pPr>
              <w:pStyle w:val="Compact"/>
            </w:pPr>
            <w:r>
              <w:t xml:space="preserve">CIS</w:t>
            </w:r>
          </w:p>
        </w:tc>
        <w:tc>
          <w:tcPr/>
          <w:p>
            <w:pPr>
              <w:pStyle w:val="Compact"/>
            </w:pPr>
            <w:r>
              <w:t xml:space="preserve">0,387</w:t>
            </w:r>
          </w:p>
        </w:tc>
        <w:tc>
          <w:tcPr/>
          <w:p>
            <w:pPr>
              <w:pStyle w:val="Compact"/>
            </w:pPr>
            <w:r>
              <w:t xml:space="preserve">crystSi</w:t>
            </w:r>
          </w:p>
        </w:tc>
        <w:tc>
          <w:tcPr/>
          <w:p>
            <w:pPr>
              <w:pStyle w:val="Compact"/>
            </w:pPr>
            <w:r>
              <w:t xml:space="preserve">0,068</w:t>
            </w:r>
          </w:p>
        </w:tc>
        <w:tc>
          <w:tcPr/>
          <w:p>
            <w:pPr>
              <w:pStyle w:val="Compact"/>
            </w:pPr>
            <w:r>
              <w:t xml:space="preserve">100</w:t>
            </w:r>
          </w:p>
        </w:tc>
        <w:tc>
          <w:tcPr/>
          <w:p>
            <w:pPr>
              <w:pStyle w:val="Compact"/>
            </w:pPr>
            <w:r>
              <w:t xml:space="preserve">nette</w:t>
            </w:r>
          </w:p>
        </w:tc>
      </w:tr>
      <w:tr>
        <w:tc>
          <w:tcPr/>
          <w:p>
            <w:pPr>
              <w:pStyle w:val="Compact"/>
            </w:pPr>
            <w:r>
              <w:t xml:space="preserve">Strasbourg</w:t>
            </w:r>
          </w:p>
        </w:tc>
        <w:tc>
          <w:tcPr/>
          <w:p>
            <w:pPr>
              <w:pStyle w:val="Compact"/>
            </w:pPr>
            <w:r>
              <w:t xml:space="preserve">CIS</w:t>
            </w:r>
          </w:p>
        </w:tc>
        <w:tc>
          <w:tcPr/>
          <w:p>
            <w:pPr>
              <w:pStyle w:val="Compact"/>
            </w:pPr>
            <w:r>
              <w:t xml:space="preserve">0,320</w:t>
            </w:r>
          </w:p>
        </w:tc>
        <w:tc>
          <w:tcPr/>
          <w:p>
            <w:pPr>
              <w:pStyle w:val="Compact"/>
            </w:pPr>
            <w:r>
              <w:t xml:space="preserve">crystSi</w:t>
            </w:r>
          </w:p>
        </w:tc>
        <w:tc>
          <w:tcPr/>
          <w:p>
            <w:pPr>
              <w:pStyle w:val="Compact"/>
            </w:pPr>
            <w:r>
              <w:t xml:space="preserve">0,082</w:t>
            </w:r>
          </w:p>
        </w:tc>
        <w:tc>
          <w:tcPr/>
          <w:p>
            <w:pPr>
              <w:pStyle w:val="Compact"/>
            </w:pPr>
            <w:r>
              <w:t xml:space="preserve">100</w:t>
            </w:r>
          </w:p>
        </w:tc>
        <w:tc>
          <w:tcPr/>
          <w:p>
            <w:pPr>
              <w:pStyle w:val="Compact"/>
            </w:pPr>
            <w:r>
              <w:t xml:space="preserve">nette</w:t>
            </w:r>
          </w:p>
        </w:tc>
      </w:tr>
      <w:tr>
        <w:tc>
          <w:tcPr/>
          <w:p>
            <w:pPr>
              <w:pStyle w:val="Compact"/>
            </w:pPr>
            <w:r>
              <w:t xml:space="preserve">Toulouse</w:t>
            </w:r>
          </w:p>
        </w:tc>
        <w:tc>
          <w:tcPr/>
          <w:p>
            <w:pPr>
              <w:pStyle w:val="Compact"/>
            </w:pPr>
            <w:r>
              <w:t xml:space="preserve">CIS</w:t>
            </w:r>
          </w:p>
        </w:tc>
        <w:tc>
          <w:tcPr/>
          <w:p>
            <w:pPr>
              <w:pStyle w:val="Compact"/>
            </w:pPr>
            <w:r>
              <w:t xml:space="preserve">0,531</w:t>
            </w:r>
          </w:p>
        </w:tc>
        <w:tc>
          <w:tcPr/>
          <w:p>
            <w:pPr>
              <w:pStyle w:val="Compact"/>
            </w:pPr>
            <w:r>
              <w:t xml:space="preserve">crystSi</w:t>
            </w:r>
          </w:p>
        </w:tc>
        <w:tc>
          <w:tcPr/>
          <w:p>
            <w:pPr>
              <w:pStyle w:val="Compact"/>
            </w:pPr>
            <w:r>
              <w:t xml:space="preserve">0,047</w:t>
            </w:r>
          </w:p>
        </w:tc>
        <w:tc>
          <w:tcPr/>
          <w:p>
            <w:pPr>
              <w:pStyle w:val="Compact"/>
            </w:pPr>
            <w:r>
              <w:t xml:space="preserve">100</w:t>
            </w:r>
          </w:p>
        </w:tc>
        <w:tc>
          <w:tcPr/>
          <w:p>
            <w:pPr>
              <w:pStyle w:val="Compact"/>
            </w:pPr>
            <w:r>
              <w:t xml:space="preserve">nette</w:t>
            </w:r>
          </w:p>
        </w:tc>
      </w:tr>
      <w:tr>
        <w:tc>
          <w:tcPr/>
          <w:p>
            <w:pPr>
              <w:pStyle w:val="Compact"/>
            </w:pPr>
            <w:r>
              <w:t xml:space="preserve">Bizerte</w:t>
            </w:r>
          </w:p>
        </w:tc>
        <w:tc>
          <w:tcPr/>
          <w:p>
            <w:pPr>
              <w:pStyle w:val="Compact"/>
            </w:pPr>
            <w:r>
              <w:t xml:space="preserve">CIS</w:t>
            </w:r>
          </w:p>
        </w:tc>
        <w:tc>
          <w:tcPr/>
          <w:p>
            <w:pPr>
              <w:pStyle w:val="Compact"/>
            </w:pPr>
            <w:r>
              <w:t xml:space="preserve">0,181</w:t>
            </w:r>
          </w:p>
        </w:tc>
        <w:tc>
          <w:tcPr/>
          <w:p>
            <w:pPr>
              <w:pStyle w:val="Compact"/>
            </w:pPr>
            <w:r>
              <w:t xml:space="preserve">CdTe</w:t>
            </w:r>
          </w:p>
        </w:tc>
        <w:tc>
          <w:tcPr/>
          <w:p>
            <w:pPr>
              <w:pStyle w:val="Compact"/>
            </w:pPr>
            <w:r>
              <w:t xml:space="preserve">0,006</w:t>
            </w:r>
          </w:p>
        </w:tc>
        <w:tc>
          <w:tcPr/>
          <w:p>
            <w:pPr>
              <w:pStyle w:val="Compact"/>
            </w:pPr>
            <w:r>
              <w:t xml:space="preserve">96</w:t>
            </w:r>
          </w:p>
        </w:tc>
        <w:tc>
          <w:tcPr/>
          <w:p>
            <w:pPr>
              <w:pStyle w:val="Compact"/>
            </w:pPr>
            <w:r>
              <w:t xml:space="preserve">ex æquo</w:t>
            </w:r>
          </w:p>
        </w:tc>
      </w:tr>
      <w:tr>
        <w:tc>
          <w:tcPr/>
          <w:p>
            <w:pPr>
              <w:pStyle w:val="Compact"/>
            </w:pPr>
            <w:r>
              <w:t xml:space="preserve">Gabès</w:t>
            </w:r>
          </w:p>
        </w:tc>
        <w:tc>
          <w:tcPr/>
          <w:p>
            <w:pPr>
              <w:pStyle w:val="Compact"/>
            </w:pPr>
            <w:r>
              <w:t xml:space="preserve">CdTe</w:t>
            </w:r>
          </w:p>
        </w:tc>
        <w:tc>
          <w:tcPr/>
          <w:p>
            <w:pPr>
              <w:pStyle w:val="Compact"/>
            </w:pPr>
            <w:r>
              <w:t xml:space="preserve">0,786</w:t>
            </w:r>
          </w:p>
        </w:tc>
        <w:tc>
          <w:tcPr/>
          <w:p>
            <w:pPr>
              <w:pStyle w:val="Compact"/>
            </w:pPr>
            <w:r>
              <w:t xml:space="preserve">CIS</w:t>
            </w:r>
          </w:p>
        </w:tc>
        <w:tc>
          <w:tcPr/>
          <w:p>
            <w:pPr>
              <w:pStyle w:val="Compact"/>
            </w:pPr>
            <w:r>
              <w:t xml:space="preserve">0,057</w:t>
            </w:r>
          </w:p>
        </w:tc>
        <w:tc>
          <w:tcPr/>
          <w:p>
            <w:pPr>
              <w:pStyle w:val="Compact"/>
            </w:pPr>
            <w:r>
              <w:t xml:space="preserve">100</w:t>
            </w:r>
          </w:p>
        </w:tc>
        <w:tc>
          <w:tcPr/>
          <w:p>
            <w:pPr>
              <w:pStyle w:val="Compact"/>
            </w:pPr>
            <w:r>
              <w:t xml:space="preserve">nette</w:t>
            </w:r>
          </w:p>
        </w:tc>
      </w:tr>
      <w:tr>
        <w:tc>
          <w:tcPr/>
          <w:p>
            <w:pPr>
              <w:pStyle w:val="Compact"/>
            </w:pPr>
            <w:r>
              <w:t xml:space="preserve">Gafsa</w:t>
            </w:r>
          </w:p>
        </w:tc>
        <w:tc>
          <w:tcPr/>
          <w:p>
            <w:pPr>
              <w:pStyle w:val="Compact"/>
            </w:pPr>
            <w:r>
              <w:t xml:space="preserve">CdTe</w:t>
            </w:r>
          </w:p>
        </w:tc>
        <w:tc>
          <w:tcPr/>
          <w:p>
            <w:pPr>
              <w:pStyle w:val="Compact"/>
            </w:pPr>
            <w:r>
              <w:t xml:space="preserve">0,815</w:t>
            </w:r>
          </w:p>
        </w:tc>
        <w:tc>
          <w:tcPr/>
          <w:p>
            <w:pPr>
              <w:pStyle w:val="Compact"/>
            </w:pPr>
            <w:r>
              <w:t xml:space="preserve">CIS</w:t>
            </w:r>
          </w:p>
        </w:tc>
        <w:tc>
          <w:tcPr/>
          <w:p>
            <w:pPr>
              <w:pStyle w:val="Compact"/>
            </w:pPr>
            <w:r>
              <w:t xml:space="preserve">0,048</w:t>
            </w:r>
          </w:p>
        </w:tc>
        <w:tc>
          <w:tcPr/>
          <w:p>
            <w:pPr>
              <w:pStyle w:val="Compact"/>
            </w:pPr>
            <w:r>
              <w:t xml:space="preserve">100</w:t>
            </w:r>
          </w:p>
        </w:tc>
        <w:tc>
          <w:tcPr/>
          <w:p>
            <w:pPr>
              <w:pStyle w:val="Compact"/>
            </w:pPr>
            <w:r>
              <w:t xml:space="preserve">nette</w:t>
            </w:r>
          </w:p>
        </w:tc>
      </w:tr>
      <w:tr>
        <w:tc>
          <w:tcPr/>
          <w:p>
            <w:pPr>
              <w:pStyle w:val="Compact"/>
            </w:pPr>
            <w:r>
              <w:t xml:space="preserve">Kairouan</w:t>
            </w:r>
          </w:p>
        </w:tc>
        <w:tc>
          <w:tcPr/>
          <w:p>
            <w:pPr>
              <w:pStyle w:val="Compact"/>
            </w:pPr>
            <w:r>
              <w:t xml:space="preserve">CdTe</w:t>
            </w:r>
          </w:p>
        </w:tc>
        <w:tc>
          <w:tcPr/>
          <w:p>
            <w:pPr>
              <w:pStyle w:val="Compact"/>
            </w:pPr>
            <w:r>
              <w:t xml:space="preserve">0,553</w:t>
            </w:r>
          </w:p>
        </w:tc>
        <w:tc>
          <w:tcPr/>
          <w:p>
            <w:pPr>
              <w:pStyle w:val="Compact"/>
            </w:pPr>
            <w:r>
              <w:t xml:space="preserve">CIS</w:t>
            </w:r>
          </w:p>
        </w:tc>
        <w:tc>
          <w:tcPr/>
          <w:p>
            <w:pPr>
              <w:pStyle w:val="Compact"/>
            </w:pPr>
            <w:r>
              <w:t xml:space="preserve">0,026</w:t>
            </w:r>
          </w:p>
        </w:tc>
        <w:tc>
          <w:tcPr/>
          <w:p>
            <w:pPr>
              <w:pStyle w:val="Compact"/>
            </w:pPr>
            <w:r>
              <w:t xml:space="preserve">100</w:t>
            </w:r>
          </w:p>
        </w:tc>
        <w:tc>
          <w:tcPr/>
          <w:p>
            <w:pPr>
              <w:pStyle w:val="Compact"/>
            </w:pPr>
            <w:r>
              <w:t xml:space="preserve">nette</w:t>
            </w:r>
          </w:p>
        </w:tc>
      </w:tr>
      <w:tr>
        <w:tc>
          <w:tcPr/>
          <w:p>
            <w:pPr>
              <w:pStyle w:val="Compact"/>
            </w:pPr>
            <w:r>
              <w:t xml:space="preserve">Médenine</w:t>
            </w:r>
          </w:p>
        </w:tc>
        <w:tc>
          <w:tcPr/>
          <w:p>
            <w:pPr>
              <w:pStyle w:val="Compact"/>
            </w:pPr>
            <w:r>
              <w:t xml:space="preserve">CdTe</w:t>
            </w:r>
          </w:p>
        </w:tc>
        <w:tc>
          <w:tcPr/>
          <w:p>
            <w:pPr>
              <w:pStyle w:val="Compact"/>
            </w:pPr>
            <w:r>
              <w:t xml:space="preserve">0,845</w:t>
            </w:r>
          </w:p>
        </w:tc>
        <w:tc>
          <w:tcPr/>
          <w:p>
            <w:pPr>
              <w:pStyle w:val="Compact"/>
            </w:pPr>
            <w:r>
              <w:t xml:space="preserve">CIS</w:t>
            </w:r>
          </w:p>
        </w:tc>
        <w:tc>
          <w:tcPr/>
          <w:p>
            <w:pPr>
              <w:pStyle w:val="Compact"/>
            </w:pPr>
            <w:r>
              <w:t xml:space="preserve">0,063</w:t>
            </w:r>
          </w:p>
        </w:tc>
        <w:tc>
          <w:tcPr/>
          <w:p>
            <w:pPr>
              <w:pStyle w:val="Compact"/>
            </w:pPr>
            <w:r>
              <w:t xml:space="preserve">100</w:t>
            </w:r>
          </w:p>
        </w:tc>
        <w:tc>
          <w:tcPr/>
          <w:p>
            <w:pPr>
              <w:pStyle w:val="Compact"/>
            </w:pPr>
            <w:r>
              <w:t xml:space="preserve">nette</w:t>
            </w:r>
          </w:p>
        </w:tc>
      </w:tr>
      <w:tr>
        <w:tc>
          <w:tcPr/>
          <w:p>
            <w:pPr>
              <w:pStyle w:val="Compact"/>
            </w:pPr>
            <w:r>
              <w:t xml:space="preserve">Sfax</w:t>
            </w:r>
          </w:p>
        </w:tc>
        <w:tc>
          <w:tcPr/>
          <w:p>
            <w:pPr>
              <w:pStyle w:val="Compact"/>
            </w:pPr>
            <w:r>
              <w:t xml:space="preserve">CdTe</w:t>
            </w:r>
          </w:p>
        </w:tc>
        <w:tc>
          <w:tcPr/>
          <w:p>
            <w:pPr>
              <w:pStyle w:val="Compact"/>
            </w:pPr>
            <w:r>
              <w:t xml:space="preserve">0,539</w:t>
            </w:r>
          </w:p>
        </w:tc>
        <w:tc>
          <w:tcPr/>
          <w:p>
            <w:pPr>
              <w:pStyle w:val="Compact"/>
            </w:pPr>
            <w:r>
              <w:t xml:space="preserve">CIS</w:t>
            </w:r>
          </w:p>
        </w:tc>
        <w:tc>
          <w:tcPr/>
          <w:p>
            <w:pPr>
              <w:pStyle w:val="Compact"/>
            </w:pPr>
            <w:r>
              <w:t xml:space="preserve">0,033</w:t>
            </w:r>
          </w:p>
        </w:tc>
        <w:tc>
          <w:tcPr/>
          <w:p>
            <w:pPr>
              <w:pStyle w:val="Compact"/>
            </w:pPr>
            <w:r>
              <w:t xml:space="preserve">100</w:t>
            </w:r>
          </w:p>
        </w:tc>
        <w:tc>
          <w:tcPr/>
          <w:p>
            <w:pPr>
              <w:pStyle w:val="Compact"/>
            </w:pPr>
            <w:r>
              <w:t xml:space="preserve">nette</w:t>
            </w:r>
          </w:p>
        </w:tc>
      </w:tr>
      <w:tr>
        <w:tc>
          <w:tcPr/>
          <w:p>
            <w:pPr>
              <w:pStyle w:val="Compact"/>
            </w:pPr>
            <w:r>
              <w:t xml:space="preserve">Sousse</w:t>
            </w:r>
          </w:p>
        </w:tc>
        <w:tc>
          <w:tcPr/>
          <w:p>
            <w:pPr>
              <w:pStyle w:val="Compact"/>
            </w:pPr>
            <w:r>
              <w:t xml:space="preserve">CdTe</w:t>
            </w:r>
          </w:p>
        </w:tc>
        <w:tc>
          <w:tcPr/>
          <w:p>
            <w:pPr>
              <w:pStyle w:val="Compact"/>
            </w:pPr>
            <w:r>
              <w:t xml:space="preserve">0,373</w:t>
            </w:r>
          </w:p>
        </w:tc>
        <w:tc>
          <w:tcPr/>
          <w:p>
            <w:pPr>
              <w:pStyle w:val="Compact"/>
            </w:pPr>
            <w:r>
              <w:t xml:space="preserve">CIS</w:t>
            </w:r>
          </w:p>
        </w:tc>
        <w:tc>
          <w:tcPr/>
          <w:p>
            <w:pPr>
              <w:pStyle w:val="Compact"/>
            </w:pPr>
            <w:r>
              <w:t xml:space="preserve">0,016</w:t>
            </w:r>
          </w:p>
        </w:tc>
        <w:tc>
          <w:tcPr/>
          <w:p>
            <w:pPr>
              <w:pStyle w:val="Compact"/>
            </w:pPr>
            <w:r>
              <w:t xml:space="preserve">100</w:t>
            </w:r>
          </w:p>
        </w:tc>
        <w:tc>
          <w:tcPr/>
          <w:p>
            <w:pPr>
              <w:pStyle w:val="Compact"/>
            </w:pPr>
            <w:r>
              <w:t xml:space="preserve">nette</w:t>
            </w:r>
          </w:p>
        </w:tc>
      </w:tr>
      <w:tr>
        <w:tc>
          <w:tcPr/>
          <w:p>
            <w:pPr>
              <w:pStyle w:val="Compact"/>
            </w:pPr>
            <w:r>
              <w:t xml:space="preserve">Tataouine</w:t>
            </w:r>
          </w:p>
        </w:tc>
        <w:tc>
          <w:tcPr/>
          <w:p>
            <w:pPr>
              <w:pStyle w:val="Compact"/>
            </w:pPr>
            <w:r>
              <w:t xml:space="preserve">CdTe</w:t>
            </w:r>
          </w:p>
        </w:tc>
        <w:tc>
          <w:tcPr/>
          <w:p>
            <w:pPr>
              <w:pStyle w:val="Compact"/>
            </w:pPr>
            <w:r>
              <w:t xml:space="preserve">0,901</w:t>
            </w:r>
          </w:p>
        </w:tc>
        <w:tc>
          <w:tcPr/>
          <w:p>
            <w:pPr>
              <w:pStyle w:val="Compact"/>
            </w:pPr>
            <w:r>
              <w:t xml:space="preserve">CIS</w:t>
            </w:r>
          </w:p>
        </w:tc>
        <w:tc>
          <w:tcPr/>
          <w:p>
            <w:pPr>
              <w:pStyle w:val="Compact"/>
            </w:pPr>
            <w:r>
              <w:t xml:space="preserve">0,063</w:t>
            </w:r>
          </w:p>
        </w:tc>
        <w:tc>
          <w:tcPr/>
          <w:p>
            <w:pPr>
              <w:pStyle w:val="Compact"/>
            </w:pPr>
            <w:r>
              <w:t xml:space="preserve">100</w:t>
            </w:r>
          </w:p>
        </w:tc>
        <w:tc>
          <w:tcPr/>
          <w:p>
            <w:pPr>
              <w:pStyle w:val="Compact"/>
            </w:pPr>
            <w:r>
              <w:t xml:space="preserve">nette</w:t>
            </w:r>
          </w:p>
        </w:tc>
      </w:tr>
      <w:tr>
        <w:tc>
          <w:tcPr/>
          <w:p>
            <w:pPr>
              <w:pStyle w:val="Compact"/>
            </w:pPr>
            <w:r>
              <w:t xml:space="preserve">Tozeur</w:t>
            </w:r>
          </w:p>
        </w:tc>
        <w:tc>
          <w:tcPr/>
          <w:p>
            <w:pPr>
              <w:pStyle w:val="Compact"/>
            </w:pPr>
            <w:r>
              <w:t xml:space="preserve">CdTe</w:t>
            </w:r>
          </w:p>
        </w:tc>
        <w:tc>
          <w:tcPr/>
          <w:p>
            <w:pPr>
              <w:pStyle w:val="Compact"/>
            </w:pPr>
            <w:r>
              <w:t xml:space="preserve">0,786</w:t>
            </w:r>
          </w:p>
        </w:tc>
        <w:tc>
          <w:tcPr/>
          <w:p>
            <w:pPr>
              <w:pStyle w:val="Compact"/>
            </w:pPr>
            <w:r>
              <w:t xml:space="preserve">CIS</w:t>
            </w:r>
          </w:p>
        </w:tc>
        <w:tc>
          <w:tcPr/>
          <w:p>
            <w:pPr>
              <w:pStyle w:val="Compact"/>
            </w:pPr>
            <w:r>
              <w:t xml:space="preserve">0,058</w:t>
            </w:r>
          </w:p>
        </w:tc>
        <w:tc>
          <w:tcPr/>
          <w:p>
            <w:pPr>
              <w:pStyle w:val="Compact"/>
            </w:pPr>
            <w:r>
              <w:t xml:space="preserve">100</w:t>
            </w:r>
          </w:p>
        </w:tc>
        <w:tc>
          <w:tcPr/>
          <w:p>
            <w:pPr>
              <w:pStyle w:val="Compact"/>
            </w:pPr>
            <w:r>
              <w:t xml:space="preserve">nette</w:t>
            </w:r>
          </w:p>
        </w:tc>
      </w:tr>
      <w:tr>
        <w:tc>
          <w:tcPr/>
          <w:p>
            <w:pPr>
              <w:pStyle w:val="Compact"/>
            </w:pPr>
            <w:r>
              <w:t xml:space="preserve">Tunis</w:t>
            </w:r>
          </w:p>
        </w:tc>
        <w:tc>
          <w:tcPr/>
          <w:p>
            <w:pPr>
              <w:pStyle w:val="Compact"/>
            </w:pPr>
            <w:r>
              <w:t xml:space="preserve">CdTe</w:t>
            </w:r>
          </w:p>
        </w:tc>
        <w:tc>
          <w:tcPr/>
          <w:p>
            <w:pPr>
              <w:pStyle w:val="Compact"/>
            </w:pPr>
            <w:r>
              <w:t xml:space="preserve">0,274</w:t>
            </w:r>
          </w:p>
        </w:tc>
        <w:tc>
          <w:tcPr/>
          <w:p>
            <w:pPr>
              <w:pStyle w:val="Compact"/>
            </w:pPr>
            <w:r>
              <w:t xml:space="preserve">CIS</w:t>
            </w:r>
          </w:p>
        </w:tc>
        <w:tc>
          <w:tcPr/>
          <w:p>
            <w:pPr>
              <w:pStyle w:val="Compact"/>
            </w:pPr>
            <w:r>
              <w:t xml:space="preserve">0,007</w:t>
            </w:r>
          </w:p>
        </w:tc>
        <w:tc>
          <w:tcPr/>
          <w:p>
            <w:pPr>
              <w:pStyle w:val="Compact"/>
            </w:pPr>
            <w:r>
              <w:t xml:space="preserve">76</w:t>
            </w:r>
          </w:p>
        </w:tc>
        <w:tc>
          <w:tcPr/>
          <w:p>
            <w:pPr>
              <w:pStyle w:val="Compact"/>
            </w:pPr>
            <w:r>
              <w:t xml:space="preserve">ex æquo</w:t>
            </w:r>
          </w:p>
        </w:tc>
      </w:tr>
    </w:tbl>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1"/>
        <w:szCs w:val="21"/>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6"/>
      <w:szCs w:val="16"/>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9" Target="media/rId29.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79" Target="media/rId79.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9" Target="media/rId59.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Prévoir la production photovoltaïque journalière : villes, technologies et bénéfices</dc:title>
  <dc:creator>[Noms des membres du groupe : à renseigner dans configs/params.yaml]</dc:creator>
  <dc:language>fr</dc:language>
  <cp:keywords/>
  <dcterms:created xsi:type="dcterms:W3CDTF">2026-10-11T16:50:08Z</dcterms:created>
  <dcterms:modified xsi:type="dcterms:W3CDTF">2026-10-11T16:50:08Z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octobre 2026</vt:lpwstr>
  </property>
  <property fmtid="{D5CDD505-2E9C-101B-9397-08002B2CF9AE}" pid="3" name="subtitle">
    <vt:lpwstr>Mini-projet Séries Temporelles pour Data Science &amp; IA - TEK-UP - option B (environnement et énergie)</vt:lpwstr>
  </property>
  <property fmtid="{D5CDD505-2E9C-101B-9397-08002B2CF9AE}" pid="4" name="toc-title">
    <vt:lpwstr>Sommaire</vt:lpwstr>
  </property>
</Properties>
</file>