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360"/>
        <w:jc w:val="center"/>
      </w:pPr>
      <w:r>
        <w:t>Code Review Agent Project Documentation</w:t>
      </w:r>
    </w:p>
    <w:p>
      <w:pPr>
        <w:pStyle w:val="Subtitle"/>
        <w:jc w:val="center"/>
      </w:pPr>
      <w:r>
        <w:t>Week 3 Project Option 3E</w:t>
      </w:r>
    </w:p>
    <w:p>
      <w:pPr>
        <w:spacing w:before="440"/>
        <w:jc w:val="center"/>
      </w:pPr>
      <w:r>
        <w:t>A production-minded Streamlit and LangGraph application for bounded, grounded, human-approved GitHub pull-request review</w:t>
      </w:r>
    </w:p>
    <w:p>
      <w:pPr>
        <w:spacing w:before="600"/>
        <w:jc w:val="center"/>
      </w:pPr>
      <w:r>
        <w:t>25 October 2026</w:t>
      </w:r>
    </w:p>
    <w:p>
      <w:r>
        <w:br w:type="page"/>
      </w:r>
    </w:p>
    <w:p>
      <w:pPr>
        <w:pStyle w:val="Heading1"/>
        <w:keepNext/>
      </w:pPr>
      <w:r>
        <w:t>Document purpose</w:t>
      </w:r>
    </w:p>
    <w:p>
      <w:r>
        <w:t>This report explains what the project does, why its safety boundaries matter, how the implementation works, and what evidence exists. The offline application and safeguards are implemented, and ten synthetic GitHub fixtures are pinned in the golden catalog. The live evaluation established a failed clean-control gate and a diagnostic ten-case baseline for Week 4. GitHub review publication has not run.</w:t>
      </w:r>
    </w:p>
    <w:p>
      <w:pPr>
        <w:pStyle w:val="Heading1"/>
        <w:keepNext/>
      </w:pPr>
      <w:r>
        <w:t>Contents</w:t>
      </w:r>
    </w:p>
    <w:p>
      <w:pPr>
        <w:spacing w:after="60"/>
        <w:ind w:left="403" w:hanging="288"/>
      </w:pPr>
      <w:r>
        <w:t xml:space="preserve">•  </w:t>
      </w:r>
      <w:r>
        <w:t>Project overview</w:t>
      </w:r>
    </w:p>
    <w:p>
      <w:pPr>
        <w:spacing w:after="60"/>
        <w:ind w:left="403" w:hanging="288"/>
      </w:pPr>
      <w:r>
        <w:t xml:space="preserve">•  </w:t>
      </w:r>
      <w:r>
        <w:t>Agent workflow</w:t>
      </w:r>
    </w:p>
    <w:p>
      <w:pPr>
        <w:spacing w:after="60"/>
        <w:ind w:left="403" w:hanging="288"/>
      </w:pPr>
      <w:r>
        <w:t xml:space="preserve">•  </w:t>
      </w:r>
      <w:r>
        <w:t>System architecture</w:t>
      </w:r>
    </w:p>
    <w:p>
      <w:pPr>
        <w:spacing w:after="60"/>
        <w:ind w:left="403" w:hanging="288"/>
      </w:pPr>
      <w:r>
        <w:t xml:space="preserve">•  </w:t>
      </w:r>
      <w:r>
        <w:t>Security and human control</w:t>
      </w:r>
    </w:p>
    <w:p>
      <w:pPr>
        <w:spacing w:after="60"/>
        <w:ind w:left="403" w:hanging="288"/>
      </w:pPr>
      <w:r>
        <w:t xml:space="preserve">•  </w:t>
      </w:r>
      <w:r>
        <w:t>Testing and evaluation</w:t>
      </w:r>
    </w:p>
    <w:p>
      <w:pPr>
        <w:spacing w:after="60"/>
        <w:ind w:left="403" w:hanging="288"/>
      </w:pPr>
      <w:r>
        <w:t xml:space="preserve">•  </w:t>
      </w:r>
      <w:r>
        <w:t>Development iterations</w:t>
      </w:r>
    </w:p>
    <w:p>
      <w:pPr>
        <w:spacing w:after="60"/>
        <w:ind w:left="403" w:hanging="288"/>
      </w:pPr>
      <w:r>
        <w:t xml:space="preserve">•  </w:t>
      </w:r>
      <w:r>
        <w:t>Operation</w:t>
      </w:r>
    </w:p>
    <w:p>
      <w:pPr>
        <w:spacing w:after="60"/>
        <w:ind w:left="403" w:hanging="288"/>
      </w:pPr>
      <w:r>
        <w:t xml:space="preserve">•  </w:t>
      </w:r>
      <w:r>
        <w:t>Results and limitations</w:t>
      </w:r>
    </w:p>
    <w:p>
      <w:pPr>
        <w:spacing w:after="60"/>
        <w:ind w:left="403" w:hanging="288"/>
      </w:pPr>
      <w:r>
        <w:t xml:space="preserve">•  </w:t>
      </w:r>
      <w:r>
        <w:t>Week 4 evaluation handoff</w:t>
      </w:r>
    </w:p>
    <w:p>
      <w:pPr>
        <w:pStyle w:val="Heading1"/>
        <w:keepNext/>
      </w:pPr>
      <w:r>
        <w:t>Project overview</w:t>
      </w:r>
    </w:p>
    <w:p>
      <w:r>
        <w:t>The Code Review Agent accepts one canonical GitHub pull-request URL, records the exact head SHA, and constructs a bounded review context from metadata, changed files, patches, and selected head-side content. LangGraph runs correctness, security, and test-coverage specialists concurrently. Deterministic Python code then validates, grounds, filters, deduplicates, and orders the findings.</w:t>
      </w:r>
    </w:p>
    <w:p>
      <w:r>
        <w:t>The user approves potentially paid model calls before analysis and approves the exact Markdown body before publication. A separate publisher revalidates the head SHA and creates or updates one marker-tagged comment. Publishing is disabled by default, and the graph cannot access the write component.</w:t>
      </w:r>
    </w:p>
    <w:p>
      <w:pPr>
        <w:pStyle w:val="Heading2"/>
        <w:keepNext/>
      </w:pPr>
      <w:r>
        <w:t>Project success measure</w:t>
      </w:r>
    </w:p>
    <w:p>
      <w:r>
        <w:t>An engineer can inspect the captured pull-request state, see each specialist's status, review one deterministic grounded draft, and deliberately approve or reject that exact body without risking an accidental GitHub write.</w:t>
      </w:r>
    </w:p>
    <w:p>
      <w:r>
        <w:br w:type="page"/>
      </w:r>
    </w:p>
    <w:p>
      <w:pPr>
        <w:pStyle w:val="Heading1"/>
        <w:keepNext/>
      </w:pPr>
      <w:r>
        <w:t>Agent workflow</w:t>
      </w:r>
    </w:p>
    <w:p>
      <w:pPr>
        <w:spacing w:after="60"/>
        <w:ind w:left="490" w:hanging="403"/>
      </w:pPr>
      <w:r>
        <w:t xml:space="preserve">1.  </w:t>
      </w:r>
      <w:r>
        <w:t>Validate the canonical GitHub URL and preview metadata.</w:t>
      </w:r>
    </w:p>
    <w:p>
      <w:pPr>
        <w:spacing w:after="60"/>
        <w:ind w:left="490" w:hanging="403"/>
      </w:pPr>
      <w:r>
        <w:t xml:space="preserve">2.  </w:t>
      </w:r>
      <w:r>
        <w:t>Retrieve bounded changed-file data and capture the exact head SHA.</w:t>
      </w:r>
    </w:p>
    <w:p>
      <w:pPr>
        <w:spacing w:after="60"/>
        <w:ind w:left="490" w:hanging="403"/>
      </w:pPr>
      <w:r>
        <w:t xml:space="preserve">3.  </w:t>
      </w:r>
      <w:r>
        <w:t>Redact likely credentials and fence repository content as untrusted data.</w:t>
      </w:r>
    </w:p>
    <w:p>
      <w:pPr>
        <w:spacing w:after="60"/>
        <w:ind w:left="490" w:hanging="403"/>
      </w:pPr>
      <w:r>
        <w:t xml:space="preserve">4.  </w:t>
      </w:r>
      <w:r>
        <w:t>Run nonexecuting Python AST checks when parseable content is available.</w:t>
      </w:r>
    </w:p>
    <w:p>
      <w:pPr>
        <w:spacing w:after="60"/>
        <w:ind w:left="490" w:hanging="403"/>
      </w:pPr>
      <w:r>
        <w:t xml:space="preserve">5.  </w:t>
      </w:r>
      <w:r>
        <w:t>Fan out to correctness, security, and test-coverage specialists.</w:t>
      </w:r>
    </w:p>
    <w:p>
      <w:pPr>
        <w:spacing w:after="60"/>
        <w:ind w:left="490" w:hanging="403"/>
      </w:pPr>
      <w:r>
        <w:t xml:space="preserve">6.  </w:t>
      </w:r>
      <w:r>
        <w:t>Apply deterministic grounding, relevance, quality, contradiction, and duplicate gates.</w:t>
      </w:r>
    </w:p>
    <w:p>
      <w:pPr>
        <w:spacing w:after="60"/>
        <w:ind w:left="490" w:hanging="403"/>
      </w:pPr>
      <w:r>
        <w:t xml:space="preserve">7.  </w:t>
      </w:r>
      <w:r>
        <w:t>Render one marker-tagged Markdown review and show specialist and tool status.</w:t>
      </w:r>
    </w:p>
    <w:p>
      <w:pPr>
        <w:spacing w:after="60"/>
        <w:ind w:left="490" w:hanging="403"/>
      </w:pPr>
      <w:r>
        <w:t xml:space="preserve">8.  </w:t>
      </w:r>
      <w:r>
        <w:t>Bind human approval to URL, SHA, generated draft, and edited body.</w:t>
      </w:r>
    </w:p>
    <w:p>
      <w:pPr>
        <w:spacing w:after="60"/>
        <w:ind w:left="490" w:hanging="403"/>
      </w:pPr>
      <w:r>
        <w:t xml:space="preserve">9.  </w:t>
      </w:r>
      <w:r>
        <w:t>Revalidate the SHA and update or create one same-author marker comment when enabled.</w:t>
      </w:r>
    </w:p>
    <w:p>
      <w:pPr>
        <w:pStyle w:val="Heading2"/>
        <w:keepNext/>
      </w:pPr>
      <w:r>
        <w:t>Human handoffs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93"/>
        <w:gridCol w:w="3293"/>
        <w:gridCol w:w="3293"/>
      </w:tblGrid>
      <w:tr>
        <w:trPr>
          <w:tblHeader w:val="true"/>
          <w:cantSplit/>
        </w:trPr>
        <w:tc>
          <w:tcPr>
            <w:tcW w:type="dxa" w:w="1800"/>
            <w:shd w:fill="17365D"/>
            <w:tcMar>
              <w:top w:w="110" w:type="dxa"/>
              <w:start w:w="120" w:type="dxa"/>
              <w:bottom w:w="110" w:type="dxa"/>
              <w:end w:w="120" w:type="dxa"/>
            </w:tcMar>
            <w:vAlign w:val="center"/>
          </w:tcPr>
          <w:p>
            <w:pPr>
              <w:jc w:val="center"/>
            </w:pPr>
            <w:r>
              <w:rPr>
                <w:b/>
                <w:color w:val="FFFFFF"/>
                <w:sz w:val="18"/>
              </w:rPr>
              <w:t>Point</w:t>
            </w:r>
          </w:p>
        </w:tc>
        <w:tc>
          <w:tcPr>
            <w:tcW w:type="dxa" w:w="3960"/>
            <w:shd w:fill="17365D"/>
            <w:tcMar>
              <w:top w:w="110" w:type="dxa"/>
              <w:start w:w="120" w:type="dxa"/>
              <w:bottom w:w="110" w:type="dxa"/>
              <w:end w:w="120" w:type="dxa"/>
            </w:tcMar>
            <w:vAlign w:val="center"/>
          </w:tcPr>
          <w:p>
            <w:pPr>
              <w:jc w:val="center"/>
            </w:pPr>
            <w:r>
              <w:rPr>
                <w:b/>
                <w:color w:val="FFFFFF"/>
                <w:sz w:val="18"/>
              </w:rPr>
              <w:t>User decision</w:t>
            </w:r>
          </w:p>
        </w:tc>
        <w:tc>
          <w:tcPr>
            <w:tcW w:type="dxa" w:w="3960"/>
            <w:shd w:fill="17365D"/>
            <w:tcMar>
              <w:top w:w="110" w:type="dxa"/>
              <w:start w:w="120" w:type="dxa"/>
              <w:bottom w:w="110" w:type="dxa"/>
              <w:end w:w="120" w:type="dxa"/>
            </w:tcMar>
            <w:vAlign w:val="center"/>
          </w:tcPr>
          <w:p>
            <w:pPr>
              <w:jc w:val="center"/>
            </w:pPr>
            <w:r>
              <w:rPr>
                <w:b/>
                <w:color w:val="FFFFFF"/>
                <w:sz w:val="18"/>
              </w:rPr>
              <w:t>Effect</w:t>
            </w:r>
          </w:p>
        </w:tc>
      </w:tr>
      <w:tr>
        <w:trPr>
          <w:cantSplit/>
        </w:trPr>
        <w:tc>
          <w:tcPr>
            <w:tcW w:type="dxa" w:w="1800"/>
            <w:tcMar>
              <w:top w:w="110" w:type="dxa"/>
              <w:start w:w="120" w:type="dxa"/>
              <w:bottom w:w="110" w:type="dxa"/>
              <w:end w:w="120" w:type="dxa"/>
            </w:tcMar>
            <w:vAlign w:val="center"/>
          </w:tcPr>
          <w:p>
            <w:pPr>
              <w:jc w:val="center"/>
            </w:pPr>
            <w:r>
              <w:rPr>
                <w:sz w:val="18"/>
              </w:rPr>
              <w:t>Before analysis</w:t>
            </w:r>
          </w:p>
        </w:tc>
        <w:tc>
          <w:tcPr>
            <w:tcW w:type="dxa" w:w="3960"/>
            <w:tcMar>
              <w:top w:w="110" w:type="dxa"/>
              <w:start w:w="120" w:type="dxa"/>
              <w:bottom w:w="110" w:type="dxa"/>
              <w:end w:w="120" w:type="dxa"/>
            </w:tcMar>
            <w:vAlign w:val="center"/>
          </w:tcPr>
          <w:p>
            <w:pPr>
              <w:jc w:val="left"/>
            </w:pPr>
            <w:r>
              <w:rPr>
                <w:sz w:val="18"/>
              </w:rPr>
              <w:t>Approve the displayed model call bound</w:t>
            </w:r>
          </w:p>
        </w:tc>
        <w:tc>
          <w:tcPr>
            <w:tcW w:type="dxa" w:w="3960"/>
            <w:tcMar>
              <w:top w:w="110" w:type="dxa"/>
              <w:start w:w="120" w:type="dxa"/>
              <w:bottom w:w="110" w:type="dxa"/>
              <w:end w:w="120" w:type="dxa"/>
            </w:tcMar>
            <w:vAlign w:val="center"/>
          </w:tcPr>
          <w:p>
            <w:pPr>
              <w:jc w:val="left"/>
            </w:pPr>
            <w:r>
              <w:rPr>
                <w:sz w:val="18"/>
              </w:rPr>
              <w:t>Enables Run review</w:t>
            </w:r>
          </w:p>
        </w:tc>
      </w:tr>
      <w:tr>
        <w:trPr>
          <w:cantSplit/>
        </w:trPr>
        <w:tc>
          <w:tcPr>
            <w:tcW w:type="dxa" w:w="1800"/>
            <w:tcMar>
              <w:top w:w="110" w:type="dxa"/>
              <w:start w:w="120" w:type="dxa"/>
              <w:bottom w:w="110" w:type="dxa"/>
              <w:end w:w="120" w:type="dxa"/>
            </w:tcMar>
            <w:vAlign w:val="center"/>
            <w:shd w:fill="EAF2F8"/>
          </w:tcPr>
          <w:p>
            <w:pPr>
              <w:jc w:val="center"/>
            </w:pPr>
            <w:r>
              <w:rPr>
                <w:sz w:val="18"/>
              </w:rPr>
              <w:t>Before publication</w:t>
            </w:r>
          </w:p>
        </w:tc>
        <w:tc>
          <w:tcPr>
            <w:tcW w:type="dxa" w:w="3960"/>
            <w:tcMar>
              <w:top w:w="110" w:type="dxa"/>
              <w:start w:w="120" w:type="dxa"/>
              <w:bottom w:w="110" w:type="dxa"/>
              <w:end w:w="120" w:type="dxa"/>
            </w:tcMar>
            <w:vAlign w:val="center"/>
            <w:shd w:fill="EAF2F8"/>
          </w:tcPr>
          <w:p>
            <w:pPr>
              <w:jc w:val="left"/>
            </w:pPr>
            <w:r>
              <w:rPr>
                <w:sz w:val="18"/>
              </w:rPr>
              <w:t>Approve the exact Markdown body</w:t>
            </w:r>
          </w:p>
        </w:tc>
        <w:tc>
          <w:tcPr>
            <w:tcW w:type="dxa" w:w="3960"/>
            <w:tcMar>
              <w:top w:w="110" w:type="dxa"/>
              <w:start w:w="120" w:type="dxa"/>
              <w:bottom w:w="110" w:type="dxa"/>
              <w:end w:w="120" w:type="dxa"/>
            </w:tcMar>
            <w:vAlign w:val="center"/>
            <w:shd w:fill="EAF2F8"/>
          </w:tcPr>
          <w:p>
            <w:pPr>
              <w:jc w:val="left"/>
            </w:pPr>
            <w:r>
              <w:rPr>
                <w:sz w:val="18"/>
              </w:rPr>
              <w:t>Creates an approval fingerprint</w:t>
            </w:r>
          </w:p>
        </w:tc>
      </w:tr>
      <w:tr>
        <w:trPr>
          <w:cantSplit/>
        </w:trPr>
        <w:tc>
          <w:tcPr>
            <w:tcW w:type="dxa" w:w="1800"/>
            <w:tcMar>
              <w:top w:w="110" w:type="dxa"/>
              <w:start w:w="120" w:type="dxa"/>
              <w:bottom w:w="110" w:type="dxa"/>
              <w:end w:w="120" w:type="dxa"/>
            </w:tcMar>
            <w:vAlign w:val="center"/>
          </w:tcPr>
          <w:p>
            <w:pPr>
              <w:jc w:val="center"/>
            </w:pPr>
            <w:r>
              <w:rPr>
                <w:sz w:val="18"/>
              </w:rPr>
              <w:t>On any change</w:t>
            </w:r>
          </w:p>
        </w:tc>
        <w:tc>
          <w:tcPr>
            <w:tcW w:type="dxa" w:w="3960"/>
            <w:tcMar>
              <w:top w:w="110" w:type="dxa"/>
              <w:start w:w="120" w:type="dxa"/>
              <w:bottom w:w="110" w:type="dxa"/>
              <w:end w:w="120" w:type="dxa"/>
            </w:tcMar>
            <w:vAlign w:val="center"/>
          </w:tcPr>
          <w:p>
            <w:pPr>
              <w:jc w:val="left"/>
            </w:pPr>
            <w:r>
              <w:rPr>
                <w:sz w:val="18"/>
              </w:rPr>
              <w:t>Review the new URL, SHA, or body</w:t>
            </w:r>
          </w:p>
        </w:tc>
        <w:tc>
          <w:tcPr>
            <w:tcW w:type="dxa" w:w="3960"/>
            <w:tcMar>
              <w:top w:w="110" w:type="dxa"/>
              <w:start w:w="120" w:type="dxa"/>
              <w:bottom w:w="110" w:type="dxa"/>
              <w:end w:w="120" w:type="dxa"/>
            </w:tcMar>
            <w:vAlign w:val="center"/>
          </w:tcPr>
          <w:p>
            <w:pPr>
              <w:jc w:val="left"/>
            </w:pPr>
            <w:r>
              <w:rPr>
                <w:sz w:val="18"/>
              </w:rPr>
              <w:t>Clears the previous approval</w:t>
            </w:r>
          </w:p>
        </w:tc>
      </w:tr>
    </w:tbl>
    <w:p>
      <w:pPr>
        <w:spacing w:after="40"/>
      </w:pPr>
    </w:p>
    <w:p>
      <w:pPr>
        <w:pStyle w:val="Heading1"/>
        <w:keepNext/>
      </w:pPr>
      <w:r>
        <w:t>System architecture</w:t>
      </w:r>
    </w:p>
    <w:p>
      <w:pPr>
        <w:spacing w:before="100" w:after="200"/>
        <w:jc w:val="center"/>
      </w:pPr>
      <w:r>
        <w:rPr>
          <w:rFonts w:ascii="Aptos Mono" w:hAnsi="Aptos Mono"/>
          <w:sz w:val="19"/>
        </w:rPr>
        <w:t>GitHub reads  →  bounded context  →  LangGraph specialists</w:t>
        <w:br/>
        <w:t xml:space="preserve">                                      ↓</w:t>
        <w:br/>
        <w:t>approval  ←  deterministic Markdown  ←  validation</w:t>
        <w:br/>
        <w:t xml:space="preserve">    ↓</w:t>
        <w:br/>
        <w:t>separate publisher  →  SHA check  →  one marker comment</w:t>
      </w:r>
    </w:p>
    <w:p>
      <w:pPr>
        <w:pStyle w:val="Heading2"/>
        <w:keepNext/>
      </w:pPr>
      <w:r>
        <w:t>Read and context components</w:t>
      </w:r>
    </w:p>
    <w:p>
      <w:r>
        <w:t>GitHubReadClient exposes GET operations only. It paginates changed files, retries bounded transient failures, and returns typed metadata and content. Context construction enforces file, patch, content, and total-character limits. Removed files, patchless files, and truncated patches cannot supply publishable head-side coordinates.</w:t>
      </w:r>
    </w:p>
    <w:p>
      <w:pPr>
        <w:pStyle w:val="Heading2"/>
        <w:keepNext/>
      </w:pPr>
      <w:r>
        <w:t>Model and graph components</w:t>
      </w:r>
    </w:p>
    <w:p>
      <w:r>
        <w:t>StructuredModelClient sends one capability probe using the exact schema used for reviews. The provider schema uses a conservative keyword set. Pydantic performs stricter internal validation. The graph has three independent nodes and one finalizer; it has no publisher, write token, or GitHub write tool.</w:t>
      </w:r>
    </w:p>
    <w:p>
      <w:pPr>
        <w:pStyle w:val="Heading2"/>
        <w:keepNext/>
      </w:pPr>
      <w:r>
        <w:t>Deterministic review components</w:t>
      </w:r>
    </w:p>
    <w:p>
      <w:r>
        <w:t>A finding must name a changed file, use a valid head-side range, overlap a changed line, name a subject present in the referenced hunk, include subject-specific evidence, and give a concrete recommendation. Direct changed tests can suppress matching test gaps. Stable sorting and duplicate precedence produce byte-identical Markdown.</w:t>
      </w:r>
    </w:p>
    <w:p>
      <w:pPr>
        <w:pStyle w:val="Heading1"/>
        <w:keepNext/>
      </w:pPr>
      <w:r>
        <w:t>Specialist contracts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93"/>
        <w:gridCol w:w="3293"/>
        <w:gridCol w:w="3293"/>
      </w:tblGrid>
      <w:tr>
        <w:trPr>
          <w:tblHeader w:val="true"/>
          <w:cantSplit/>
        </w:trPr>
        <w:tc>
          <w:tcPr>
            <w:tcW w:type="dxa" w:w="1872"/>
            <w:shd w:fill="17365D"/>
            <w:tcMar>
              <w:top w:w="110" w:type="dxa"/>
              <w:start w:w="120" w:type="dxa"/>
              <w:bottom w:w="110" w:type="dxa"/>
              <w:end w:w="120" w:type="dxa"/>
            </w:tcMar>
            <w:vAlign w:val="center"/>
          </w:tcPr>
          <w:p>
            <w:pPr>
              <w:jc w:val="center"/>
            </w:pPr>
            <w:r>
              <w:rPr>
                <w:b/>
                <w:color w:val="FFFFFF"/>
                <w:sz w:val="18"/>
              </w:rPr>
              <w:t>Specialist</w:t>
            </w:r>
          </w:p>
        </w:tc>
        <w:tc>
          <w:tcPr>
            <w:tcW w:type="dxa" w:w="4464"/>
            <w:shd w:fill="17365D"/>
            <w:tcMar>
              <w:top w:w="110" w:type="dxa"/>
              <w:start w:w="120" w:type="dxa"/>
              <w:bottom w:w="110" w:type="dxa"/>
              <w:end w:w="120" w:type="dxa"/>
            </w:tcMar>
            <w:vAlign w:val="center"/>
          </w:tcPr>
          <w:p>
            <w:pPr>
              <w:jc w:val="center"/>
            </w:pPr>
            <w:r>
              <w:rPr>
                <w:b/>
                <w:color w:val="FFFFFF"/>
                <w:sz w:val="18"/>
              </w:rPr>
              <w:t>Primary focus</w:t>
            </w:r>
          </w:p>
        </w:tc>
        <w:tc>
          <w:tcPr>
            <w:tcW w:type="dxa" w:w="3384"/>
            <w:shd w:fill="17365D"/>
            <w:tcMar>
              <w:top w:w="110" w:type="dxa"/>
              <w:start w:w="120" w:type="dxa"/>
              <w:bottom w:w="110" w:type="dxa"/>
              <w:end w:w="120" w:type="dxa"/>
            </w:tcMar>
            <w:vAlign w:val="center"/>
          </w:tcPr>
          <w:p>
            <w:pPr>
              <w:jc w:val="center"/>
            </w:pPr>
            <w:r>
              <w:rPr>
                <w:b/>
                <w:color w:val="FFFFFF"/>
                <w:sz w:val="18"/>
              </w:rPr>
              <w:t>Failure effect</w:t>
            </w:r>
          </w:p>
        </w:tc>
      </w:tr>
      <w:tr>
        <w:trPr>
          <w:cantSplit/>
        </w:trPr>
        <w:tc>
          <w:tcPr>
            <w:tcW w:type="dxa" w:w="1872"/>
            <w:tcMar>
              <w:top w:w="110" w:type="dxa"/>
              <w:start w:w="120" w:type="dxa"/>
              <w:bottom w:w="110" w:type="dxa"/>
              <w:end w:w="120" w:type="dxa"/>
            </w:tcMar>
            <w:vAlign w:val="center"/>
          </w:tcPr>
          <w:p>
            <w:pPr>
              <w:jc w:val="center"/>
            </w:pPr>
            <w:r>
              <w:rPr>
                <w:sz w:val="18"/>
              </w:rPr>
              <w:t>Correctness</w:t>
            </w:r>
          </w:p>
        </w:tc>
        <w:tc>
          <w:tcPr>
            <w:tcW w:type="dxa" w:w="4464"/>
            <w:tcMar>
              <w:top w:w="110" w:type="dxa"/>
              <w:start w:w="120" w:type="dxa"/>
              <w:bottom w:w="110" w:type="dxa"/>
              <w:end w:w="120" w:type="dxa"/>
            </w:tcMar>
            <w:vAlign w:val="center"/>
          </w:tcPr>
          <w:p>
            <w:pPr>
              <w:jc w:val="left"/>
            </w:pPr>
            <w:r>
              <w:rPr>
                <w:sz w:val="18"/>
              </w:rPr>
              <w:t>Concrete behavior defects and broken invariants</w:t>
            </w:r>
          </w:p>
        </w:tc>
        <w:tc>
          <w:tcPr>
            <w:tcW w:type="dxa" w:w="3384"/>
            <w:tcMar>
              <w:top w:w="110" w:type="dxa"/>
              <w:start w:w="120" w:type="dxa"/>
              <w:bottom w:w="110" w:type="dxa"/>
              <w:end w:w="120" w:type="dxa"/>
            </w:tcMar>
            <w:vAlign w:val="center"/>
          </w:tcPr>
          <w:p>
            <w:pPr>
              <w:jc w:val="left"/>
            </w:pPr>
            <w:r>
              <w:rPr>
                <w:sz w:val="18"/>
              </w:rPr>
              <w:t>One failure yields a partial review</w:t>
            </w:r>
          </w:p>
        </w:tc>
      </w:tr>
      <w:tr>
        <w:trPr>
          <w:cantSplit/>
        </w:trPr>
        <w:tc>
          <w:tcPr>
            <w:tcW w:type="dxa" w:w="1872"/>
            <w:tcMar>
              <w:top w:w="110" w:type="dxa"/>
              <w:start w:w="120" w:type="dxa"/>
              <w:bottom w:w="110" w:type="dxa"/>
              <w:end w:w="120" w:type="dxa"/>
            </w:tcMar>
            <w:vAlign w:val="center"/>
            <w:shd w:fill="EAF2F8"/>
          </w:tcPr>
          <w:p>
            <w:pPr>
              <w:jc w:val="center"/>
            </w:pPr>
            <w:r>
              <w:rPr>
                <w:sz w:val="18"/>
              </w:rPr>
              <w:t>Security</w:t>
            </w:r>
          </w:p>
        </w:tc>
        <w:tc>
          <w:tcPr>
            <w:tcW w:type="dxa" w:w="4464"/>
            <w:tcMar>
              <w:top w:w="110" w:type="dxa"/>
              <w:start w:w="120" w:type="dxa"/>
              <w:bottom w:w="110" w:type="dxa"/>
              <w:end w:w="120" w:type="dxa"/>
            </w:tcMar>
            <w:vAlign w:val="center"/>
            <w:shd w:fill="EAF2F8"/>
          </w:tcPr>
          <w:p>
            <w:pPr>
              <w:jc w:val="left"/>
            </w:pPr>
            <w:r>
              <w:rPr>
                <w:sz w:val="18"/>
              </w:rPr>
              <w:t>Trust boundaries and exploitable unsafe behavior</w:t>
            </w:r>
          </w:p>
        </w:tc>
        <w:tc>
          <w:tcPr>
            <w:tcW w:type="dxa" w:w="3384"/>
            <w:tcMar>
              <w:top w:w="110" w:type="dxa"/>
              <w:start w:w="120" w:type="dxa"/>
              <w:bottom w:w="110" w:type="dxa"/>
              <w:end w:w="120" w:type="dxa"/>
            </w:tcMar>
            <w:vAlign w:val="center"/>
            <w:shd w:fill="EAF2F8"/>
          </w:tcPr>
          <w:p>
            <w:pPr>
              <w:jc w:val="left"/>
            </w:pPr>
            <w:r>
              <w:rPr>
                <w:sz w:val="18"/>
              </w:rPr>
              <w:t>Two total failures abort publication</w:t>
            </w:r>
          </w:p>
        </w:tc>
      </w:tr>
      <w:tr>
        <w:trPr>
          <w:cantSplit/>
        </w:trPr>
        <w:tc>
          <w:tcPr>
            <w:tcW w:type="dxa" w:w="1872"/>
            <w:tcMar>
              <w:top w:w="110" w:type="dxa"/>
              <w:start w:w="120" w:type="dxa"/>
              <w:bottom w:w="110" w:type="dxa"/>
              <w:end w:w="120" w:type="dxa"/>
            </w:tcMar>
            <w:vAlign w:val="center"/>
          </w:tcPr>
          <w:p>
            <w:pPr>
              <w:jc w:val="center"/>
            </w:pPr>
            <w:r>
              <w:rPr>
                <w:sz w:val="18"/>
              </w:rPr>
              <w:t>Test coverage</w:t>
            </w:r>
          </w:p>
        </w:tc>
        <w:tc>
          <w:tcPr>
            <w:tcW w:type="dxa" w:w="4464"/>
            <w:tcMar>
              <w:top w:w="110" w:type="dxa"/>
              <w:start w:w="120" w:type="dxa"/>
              <w:bottom w:w="110" w:type="dxa"/>
              <w:end w:w="120" w:type="dxa"/>
            </w:tcMar>
            <w:vAlign w:val="center"/>
          </w:tcPr>
          <w:p>
            <w:pPr>
              <w:jc w:val="left"/>
            </w:pPr>
            <w:r>
              <w:rPr>
                <w:sz w:val="18"/>
              </w:rPr>
              <w:t>Important changed behavior without a direct test</w:t>
            </w:r>
          </w:p>
        </w:tc>
        <w:tc>
          <w:tcPr>
            <w:tcW w:type="dxa" w:w="3384"/>
            <w:tcMar>
              <w:top w:w="110" w:type="dxa"/>
              <w:start w:w="120" w:type="dxa"/>
              <w:bottom w:w="110" w:type="dxa"/>
              <w:end w:w="120" w:type="dxa"/>
            </w:tcMar>
            <w:vAlign w:val="center"/>
          </w:tcPr>
          <w:p>
            <w:pPr>
              <w:jc w:val="left"/>
            </w:pPr>
            <w:r>
              <w:rPr>
                <w:sz w:val="18"/>
              </w:rPr>
              <w:t>Routine suggestions are suppressed</w:t>
            </w:r>
          </w:p>
        </w:tc>
      </w:tr>
    </w:tbl>
    <w:p>
      <w:pPr>
        <w:spacing w:after="40"/>
      </w:pPr>
    </w:p>
    <w:p>
      <w:r>
        <w:t>Each specialist returns at most three findings and three short validation notes. Category, severity, reviewer identity, string size, path, and coordinate constraints are validated. A test gap can be medium, low, or informational, but cannot be high solely because the hypothetical defect would be severe.</w:t>
      </w:r>
    </w:p>
    <w:p>
      <w:pPr>
        <w:pStyle w:val="Heading1"/>
        <w:keepNext/>
      </w:pPr>
      <w:r>
        <w:t>Security and human control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39"/>
        <w:gridCol w:w="4939"/>
      </w:tblGrid>
      <w:tr>
        <w:trPr>
          <w:tblHeader w:val="true"/>
          <w:cantSplit/>
        </w:trPr>
        <w:tc>
          <w:tcPr>
            <w:tcW w:type="dxa" w:w="2880"/>
            <w:shd w:fill="17365D"/>
            <w:tcMar>
              <w:top w:w="110" w:type="dxa"/>
              <w:start w:w="120" w:type="dxa"/>
              <w:bottom w:w="110" w:type="dxa"/>
              <w:end w:w="120" w:type="dxa"/>
            </w:tcMar>
            <w:vAlign w:val="center"/>
          </w:tcPr>
          <w:p>
            <w:pPr>
              <w:jc w:val="center"/>
            </w:pPr>
            <w:r>
              <w:rPr>
                <w:b/>
                <w:color w:val="FFFFFF"/>
                <w:sz w:val="18"/>
              </w:rPr>
              <w:t>Risk</w:t>
            </w:r>
          </w:p>
        </w:tc>
        <w:tc>
          <w:tcPr>
            <w:tcW w:type="dxa" w:w="6840"/>
            <w:shd w:fill="17365D"/>
            <w:tcMar>
              <w:top w:w="110" w:type="dxa"/>
              <w:start w:w="120" w:type="dxa"/>
              <w:bottom w:w="110" w:type="dxa"/>
              <w:end w:w="120" w:type="dxa"/>
            </w:tcMar>
            <w:vAlign w:val="center"/>
          </w:tcPr>
          <w:p>
            <w:pPr>
              <w:jc w:val="center"/>
            </w:pPr>
            <w:r>
              <w:rPr>
                <w:b/>
                <w:color w:val="FFFFFF"/>
                <w:sz w:val="18"/>
              </w:rPr>
              <w:t>Control</w:t>
            </w:r>
          </w:p>
        </w:tc>
      </w:tr>
      <w:tr>
        <w:trPr>
          <w:cantSplit/>
        </w:trPr>
        <w:tc>
          <w:tcPr>
            <w:tcW w:type="dxa" w:w="2880"/>
            <w:tcMar>
              <w:top w:w="110" w:type="dxa"/>
              <w:start w:w="120" w:type="dxa"/>
              <w:bottom w:w="110" w:type="dxa"/>
              <w:end w:w="120" w:type="dxa"/>
            </w:tcMar>
            <w:vAlign w:val="center"/>
          </w:tcPr>
          <w:p>
            <w:pPr>
              <w:jc w:val="center"/>
            </w:pPr>
            <w:r>
              <w:rPr>
                <w:sz w:val="18"/>
              </w:rPr>
              <w:t>Prompt injection</w:t>
            </w:r>
          </w:p>
        </w:tc>
        <w:tc>
          <w:tcPr>
            <w:tcW w:type="dxa" w:w="6840"/>
            <w:tcMar>
              <w:top w:w="110" w:type="dxa"/>
              <w:start w:w="120" w:type="dxa"/>
              <w:bottom w:w="110" w:type="dxa"/>
              <w:end w:w="120" w:type="dxa"/>
            </w:tcMar>
            <w:vAlign w:val="center"/>
          </w:tcPr>
          <w:p>
            <w:pPr>
              <w:jc w:val="left"/>
            </w:pPr>
            <w:r>
              <w:rPr>
                <w:sz w:val="18"/>
              </w:rPr>
              <w:t>Untrusted-data fencing, no model tools, deterministic path and line checks</w:t>
            </w:r>
          </w:p>
        </w:tc>
      </w:tr>
      <w:tr>
        <w:trPr>
          <w:cantSplit/>
        </w:trPr>
        <w:tc>
          <w:tcPr>
            <w:tcW w:type="dxa" w:w="2880"/>
            <w:tcMar>
              <w:top w:w="110" w:type="dxa"/>
              <w:start w:w="120" w:type="dxa"/>
              <w:bottom w:w="110" w:type="dxa"/>
              <w:end w:w="120" w:type="dxa"/>
            </w:tcMar>
            <w:vAlign w:val="center"/>
            <w:shd w:fill="EAF2F8"/>
          </w:tcPr>
          <w:p>
            <w:pPr>
              <w:jc w:val="center"/>
            </w:pPr>
            <w:r>
              <w:rPr>
                <w:sz w:val="18"/>
              </w:rPr>
              <w:t>Credential exposure</w:t>
            </w:r>
          </w:p>
        </w:tc>
        <w:tc>
          <w:tcPr>
            <w:tcW w:type="dxa" w:w="6840"/>
            <w:tcMar>
              <w:top w:w="110" w:type="dxa"/>
              <w:start w:w="120" w:type="dxa"/>
              <w:bottom w:w="110" w:type="dxa"/>
              <w:end w:w="120" w:type="dxa"/>
            </w:tcMar>
            <w:vAlign w:val="center"/>
            <w:shd w:fill="EAF2F8"/>
          </w:tcPr>
          <w:p>
            <w:pPr>
              <w:jc w:val="left"/>
            </w:pPr>
            <w:r>
              <w:rPr>
                <w:sz w:val="18"/>
              </w:rPr>
              <w:t>Pre-model pattern redaction and source-free logs and evaluation artifacts</w:t>
            </w:r>
          </w:p>
        </w:tc>
      </w:tr>
      <w:tr>
        <w:trPr>
          <w:cantSplit/>
        </w:trPr>
        <w:tc>
          <w:tcPr>
            <w:tcW w:type="dxa" w:w="2880"/>
            <w:tcMar>
              <w:top w:w="110" w:type="dxa"/>
              <w:start w:w="120" w:type="dxa"/>
              <w:bottom w:w="110" w:type="dxa"/>
              <w:end w:w="120" w:type="dxa"/>
            </w:tcMar>
            <w:vAlign w:val="center"/>
          </w:tcPr>
          <w:p>
            <w:pPr>
              <w:jc w:val="center"/>
            </w:pPr>
            <w:r>
              <w:rPr>
                <w:sz w:val="18"/>
              </w:rPr>
              <w:t>Repository code execution</w:t>
            </w:r>
          </w:p>
        </w:tc>
        <w:tc>
          <w:tcPr>
            <w:tcW w:type="dxa" w:w="6840"/>
            <w:tcMar>
              <w:top w:w="110" w:type="dxa"/>
              <w:start w:w="120" w:type="dxa"/>
              <w:bottom w:w="110" w:type="dxa"/>
              <w:end w:w="120" w:type="dxa"/>
            </w:tcMar>
            <w:vAlign w:val="center"/>
          </w:tcPr>
          <w:p>
            <w:pPr>
              <w:jc w:val="left"/>
            </w:pPr>
            <w:r>
              <w:rPr>
                <w:sz w:val="18"/>
              </w:rPr>
              <w:t>No clone, import, package install, hook, test, or build; AST parses text only</w:t>
            </w:r>
          </w:p>
        </w:tc>
      </w:tr>
      <w:tr>
        <w:trPr>
          <w:cantSplit/>
        </w:trPr>
        <w:tc>
          <w:tcPr>
            <w:tcW w:type="dxa" w:w="2880"/>
            <w:tcMar>
              <w:top w:w="110" w:type="dxa"/>
              <w:start w:w="120" w:type="dxa"/>
              <w:bottom w:w="110" w:type="dxa"/>
              <w:end w:w="120" w:type="dxa"/>
            </w:tcMar>
            <w:vAlign w:val="center"/>
            <w:shd w:fill="EAF2F8"/>
          </w:tcPr>
          <w:p>
            <w:pPr>
              <w:jc w:val="center"/>
            </w:pPr>
            <w:r>
              <w:rPr>
                <w:sz w:val="18"/>
              </w:rPr>
              <w:t>Stale approval</w:t>
            </w:r>
          </w:p>
        </w:tc>
        <w:tc>
          <w:tcPr>
            <w:tcW w:type="dxa" w:w="6840"/>
            <w:tcMar>
              <w:top w:w="110" w:type="dxa"/>
              <w:start w:w="120" w:type="dxa"/>
              <w:bottom w:w="110" w:type="dxa"/>
              <w:end w:w="120" w:type="dxa"/>
            </w:tcMar>
            <w:vAlign w:val="center"/>
            <w:shd w:fill="EAF2F8"/>
          </w:tcPr>
          <w:p>
            <w:pPr>
              <w:jc w:val="left"/>
            </w:pPr>
            <w:r>
              <w:rPr>
                <w:sz w:val="18"/>
              </w:rPr>
              <w:t>Fingerprint includes URL, SHA, generated body, and edited body</w:t>
            </w:r>
          </w:p>
        </w:tc>
      </w:tr>
      <w:tr>
        <w:trPr>
          <w:cantSplit/>
        </w:trPr>
        <w:tc>
          <w:tcPr>
            <w:tcW w:type="dxa" w:w="2880"/>
            <w:tcMar>
              <w:top w:w="110" w:type="dxa"/>
              <w:start w:w="120" w:type="dxa"/>
              <w:bottom w:w="110" w:type="dxa"/>
              <w:end w:w="120" w:type="dxa"/>
            </w:tcMar>
            <w:vAlign w:val="center"/>
          </w:tcPr>
          <w:p>
            <w:pPr>
              <w:jc w:val="center"/>
            </w:pPr>
            <w:r>
              <w:rPr>
                <w:sz w:val="18"/>
              </w:rPr>
              <w:t>Accidental write</w:t>
            </w:r>
          </w:p>
        </w:tc>
        <w:tc>
          <w:tcPr>
            <w:tcW w:type="dxa" w:w="6840"/>
            <w:tcMar>
              <w:top w:w="110" w:type="dxa"/>
              <w:start w:w="120" w:type="dxa"/>
              <w:bottom w:w="110" w:type="dxa"/>
              <w:end w:w="120" w:type="dxa"/>
            </w:tcMar>
            <w:vAlign w:val="center"/>
          </w:tcPr>
          <w:p>
            <w:pPr>
              <w:jc w:val="left"/>
            </w:pPr>
            <w:r>
              <w:rPr>
                <w:sz w:val="18"/>
              </w:rPr>
              <w:t>Default-off flag, separate token, controller gate, per-mutation SHA recheck</w:t>
            </w:r>
          </w:p>
        </w:tc>
      </w:tr>
      <w:tr>
        <w:trPr>
          <w:cantSplit/>
        </w:trPr>
        <w:tc>
          <w:tcPr>
            <w:tcW w:type="dxa" w:w="2880"/>
            <w:tcMar>
              <w:top w:w="110" w:type="dxa"/>
              <w:start w:w="120" w:type="dxa"/>
              <w:bottom w:w="110" w:type="dxa"/>
              <w:end w:w="120" w:type="dxa"/>
            </w:tcMar>
            <w:vAlign w:val="center"/>
            <w:shd w:fill="EAF2F8"/>
          </w:tcPr>
          <w:p>
            <w:pPr>
              <w:jc w:val="center"/>
            </w:pPr>
            <w:r>
              <w:rPr>
                <w:sz w:val="18"/>
              </w:rPr>
              <w:t>Duplicate comments</w:t>
            </w:r>
          </w:p>
        </w:tc>
        <w:tc>
          <w:tcPr>
            <w:tcW w:type="dxa" w:w="6840"/>
            <w:tcMar>
              <w:top w:w="110" w:type="dxa"/>
              <w:start w:w="120" w:type="dxa"/>
              <w:bottom w:w="110" w:type="dxa"/>
              <w:end w:w="120" w:type="dxa"/>
            </w:tcMar>
            <w:vAlign w:val="center"/>
            <w:shd w:fill="EAF2F8"/>
          </w:tcPr>
          <w:p>
            <w:pPr>
              <w:jc w:val="left"/>
            </w:pPr>
            <w:r>
              <w:rPr>
                <w:sz w:val="18"/>
              </w:rPr>
              <w:t>Stable hidden marker, same-author update, timeout search before retry</w:t>
            </w:r>
          </w:p>
        </w:tc>
      </w:tr>
    </w:tbl>
    <w:p>
      <w:pPr>
        <w:spacing w:after="40"/>
      </w:pPr>
    </w:p>
    <w:p>
      <w:r>
        <w:t>The publisher never overwrites a foreign-authored marker and stops when it finds multiple same-author marker matches. The evaluator constructs only read and model components and is incapable of publishing.</w:t>
      </w:r>
    </w:p>
    <w:p>
      <w:pPr>
        <w:pStyle w:val="Heading1"/>
        <w:keepNext/>
      </w:pPr>
      <w:r>
        <w:t>Testing and evaluation</w:t>
      </w:r>
    </w:p>
    <w:p>
      <w:pPr>
        <w:pStyle w:val="Heading2"/>
        <w:keepNext/>
      </w:pPr>
      <w:r>
        <w:t>Offline regression evidence</w:t>
      </w:r>
    </w:p>
    <w:p>
      <w:r>
        <w:t>The offline suite covers URL parsing, GitHub retries and pagination, context bounds and redaction, prompt-injection fencing, provider output, malformed retries, partial and abort paths, severity rules, grounding, relevance, direct-test contradiction, deduplication, deterministic Markdown, approval resets, publication behavior, evaluation artifacts, and the Streamlit workflow. HTTP and model boundaries use injected responses; tests make no paid calls.</w:t>
      </w:r>
    </w:p>
    <w:p>
      <w:r>
        <w:t>Final verification passed 175 tests with 92.60 percent branch coverage, plus Ruff lint and formatting, two secret scans, the dependency audit, package and Twine checks, clean artifact installs, and source, wheel, and source-distribution Streamlit health requests.</w:t>
      </w:r>
    </w:p>
    <w:p>
      <w:pPr>
        <w:pStyle w:val="Heading2"/>
        <w:keepNext/>
      </w:pPr>
      <w:r>
        <w:t>Black box sequence</w:t>
      </w:r>
    </w:p>
    <w:p>
      <w:pPr>
        <w:spacing w:after="60"/>
        <w:ind w:left="490" w:hanging="403"/>
      </w:pPr>
      <w:r>
        <w:t xml:space="preserve">1.  </w:t>
      </w:r>
      <w:r>
        <w:t>Run offline tests and security checks.</w:t>
      </w:r>
    </w:p>
    <w:p>
      <w:pPr>
        <w:spacing w:after="60"/>
        <w:ind w:left="490" w:hanging="403"/>
      </w:pPr>
      <w:r>
        <w:t xml:space="preserve">2.  </w:t>
      </w:r>
      <w:r>
        <w:t>Preflight all ten pinned head SHAs before the first model call.</w:t>
      </w:r>
    </w:p>
    <w:p>
      <w:pPr>
        <w:spacing w:after="60"/>
        <w:ind w:left="490" w:hanging="403"/>
      </w:pPr>
      <w:r>
        <w:t xml:space="preserve">3.  </w:t>
      </w:r>
      <w:r>
        <w:t>Run both clean controls and stop on any finding or operational failure.</w:t>
      </w:r>
    </w:p>
    <w:p>
      <w:pPr>
        <w:spacing w:after="60"/>
        <w:ind w:left="490" w:hanging="403"/>
      </w:pPr>
      <w:r>
        <w:t xml:space="preserve">4.  </w:t>
      </w:r>
      <w:r>
        <w:t>Run all seven seeded defects and require one-to-one expected matches.</w:t>
      </w:r>
    </w:p>
    <w:p>
      <w:pPr>
        <w:spacing w:after="60"/>
        <w:ind w:left="490" w:hanging="403"/>
      </w:pPr>
      <w:r>
        <w:t xml:space="preserve">5.  </w:t>
      </w:r>
      <w:r>
        <w:t>Run the one controlled malformed-recovery case and require a partial review with exactly two completed specialists.</w:t>
      </w:r>
    </w:p>
    <w:p>
      <w:pPr>
        <w:spacing w:after="60"/>
        <w:ind w:left="490" w:hanging="403"/>
      </w:pPr>
      <w:r>
        <w:t xml:space="preserve">6.  </w:t>
      </w:r>
      <w:r>
        <w:t>Combine one result per case without rerunning for a better score.</w:t>
      </w:r>
    </w:p>
    <w:p>
      <w:r>
        <w:t>The clean controls run before the seeded defects, and malformed recovery runs last. Every case runs at most once. A failed whole-catalog preflight makes zero model calls. Metrics include recall, precision, severity and location agreement, duplicate rate, specialist completion, partial recovery, and clean behavior. Unavailable metrics are N/A.</w:t>
      </w:r>
    </w:p>
    <w:p>
      <w:pPr>
        <w:pStyle w:val="Heading2"/>
        <w:keepNext/>
      </w:pPr>
      <w:r>
        <w:t>Golden dataset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69"/>
        <w:gridCol w:w="2469"/>
        <w:gridCol w:w="2469"/>
        <w:gridCol w:w="2469"/>
      </w:tblGrid>
      <w:tr>
        <w:trPr>
          <w:tblHeader w:val="true"/>
          <w:cantSplit/>
        </w:trPr>
        <w:tc>
          <w:tcPr>
            <w:tcW w:type="dxa" w:w="792"/>
            <w:shd w:fill="17365D"/>
            <w:tcMar>
              <w:top w:w="45" w:type="dxa"/>
              <w:start w:w="120" w:type="dxa"/>
              <w:bottom w:w="45" w:type="dxa"/>
              <w:end w:w="120" w:type="dxa"/>
            </w:tcMar>
            <w:vAlign w:val="center"/>
          </w:tcPr>
          <w:p>
            <w:pPr>
              <w:jc w:val="center"/>
            </w:pPr>
            <w:r>
              <w:rPr>
                <w:b/>
                <w:color w:val="FFFFFF"/>
                <w:sz w:val="17"/>
              </w:rPr>
              <w:t>Case</w:t>
            </w:r>
          </w:p>
        </w:tc>
        <w:tc>
          <w:tcPr>
            <w:tcW w:type="dxa" w:w="1296"/>
            <w:shd w:fill="17365D"/>
            <w:tcMar>
              <w:top w:w="45" w:type="dxa"/>
              <w:start w:w="120" w:type="dxa"/>
              <w:bottom w:w="45" w:type="dxa"/>
              <w:end w:w="120" w:type="dxa"/>
            </w:tcMar>
            <w:vAlign w:val="center"/>
          </w:tcPr>
          <w:p>
            <w:pPr>
              <w:jc w:val="center"/>
            </w:pPr>
            <w:r>
              <w:rPr>
                <w:b/>
                <w:color w:val="FFFFFF"/>
                <w:sz w:val="17"/>
              </w:rPr>
              <w:t>Role</w:t>
            </w:r>
          </w:p>
        </w:tc>
        <w:tc>
          <w:tcPr>
            <w:tcW w:type="dxa" w:w="1440"/>
            <w:shd w:fill="17365D"/>
            <w:tcMar>
              <w:top w:w="45" w:type="dxa"/>
              <w:start w:w="120" w:type="dxa"/>
              <w:bottom w:w="45" w:type="dxa"/>
              <w:end w:w="120" w:type="dxa"/>
            </w:tcMar>
            <w:vAlign w:val="center"/>
          </w:tcPr>
          <w:p>
            <w:pPr>
              <w:jc w:val="center"/>
            </w:pPr>
            <w:r>
              <w:rPr>
                <w:b/>
                <w:color w:val="FFFFFF"/>
                <w:sz w:val="17"/>
              </w:rPr>
              <w:t>Pull request</w:t>
            </w:r>
          </w:p>
        </w:tc>
        <w:tc>
          <w:tcPr>
            <w:tcW w:type="dxa" w:w="6192"/>
            <w:shd w:fill="17365D"/>
            <w:tcMar>
              <w:top w:w="45" w:type="dxa"/>
              <w:start w:w="120" w:type="dxa"/>
              <w:bottom w:w="45" w:type="dxa"/>
              <w:end w:w="120" w:type="dxa"/>
            </w:tcMar>
            <w:vAlign w:val="center"/>
          </w:tcPr>
          <w:p>
            <w:pPr>
              <w:jc w:val="center"/>
            </w:pPr>
            <w:r>
              <w:rPr>
                <w:b/>
                <w:color w:val="FFFFFF"/>
                <w:sz w:val="17"/>
              </w:rPr>
              <w:t>Expected result</w:t>
            </w:r>
          </w:p>
        </w:tc>
      </w:tr>
      <w:tr>
        <w:trPr>
          <w:cantSplit/>
        </w:trPr>
        <w:tc>
          <w:tcPr>
            <w:tcW w:type="dxa" w:w="792"/>
            <w:tcMar>
              <w:top w:w="45" w:type="dxa"/>
              <w:start w:w="120" w:type="dxa"/>
              <w:bottom w:w="45" w:type="dxa"/>
              <w:end w:w="120" w:type="dxa"/>
            </w:tcMar>
            <w:vAlign w:val="center"/>
          </w:tcPr>
          <w:p>
            <w:pPr>
              <w:jc w:val="center"/>
            </w:pPr>
            <w:r>
              <w:rPr>
                <w:sz w:val="17"/>
              </w:rPr>
              <w:t>01</w:t>
            </w:r>
          </w:p>
        </w:tc>
        <w:tc>
          <w:tcPr>
            <w:tcW w:type="dxa" w:w="1296"/>
            <w:tcMar>
              <w:top w:w="45" w:type="dxa"/>
              <w:start w:w="120" w:type="dxa"/>
              <w:bottom w:w="45" w:type="dxa"/>
              <w:end w:w="120" w:type="dxa"/>
            </w:tcMar>
            <w:vAlign w:val="center"/>
          </w:tcPr>
          <w:p>
            <w:pPr>
              <w:jc w:val="left"/>
            </w:pPr>
            <w:r>
              <w:rPr>
                <w:sz w:val="17"/>
              </w:rPr>
              <w:t>Seeded</w:t>
            </w:r>
          </w:p>
        </w:tc>
        <w:tc>
          <w:tcPr>
            <w:tcW w:type="dxa" w:w="1440"/>
            <w:tcMar>
              <w:top w:w="45" w:type="dxa"/>
              <w:start w:w="120" w:type="dxa"/>
              <w:bottom w:w="45" w:type="dxa"/>
              <w:end w:w="120" w:type="dxa"/>
            </w:tcMar>
            <w:vAlign w:val="center"/>
          </w:tcPr>
          <w:p>
            <w:pPr>
              <w:jc w:val="left"/>
            </w:pPr>
            <w:r>
              <w:rPr>
                <w:sz w:val="17"/>
              </w:rPr>
              <w:t>PR 1</w:t>
            </w:r>
          </w:p>
        </w:tc>
        <w:tc>
          <w:tcPr>
            <w:tcW w:type="dxa" w:w="6192"/>
            <w:tcMar>
              <w:top w:w="45" w:type="dxa"/>
              <w:start w:w="120" w:type="dxa"/>
              <w:bottom w:w="45" w:type="dxa"/>
              <w:end w:w="120" w:type="dxa"/>
            </w:tcMar>
            <w:vAlign w:val="center"/>
          </w:tcPr>
          <w:p>
            <w:pPr>
              <w:jc w:val="left"/>
            </w:pPr>
            <w:r>
              <w:rPr>
                <w:sz w:val="17"/>
              </w:rPr>
              <w:t>Correctness, security, and test gap</w:t>
            </w:r>
          </w:p>
        </w:tc>
      </w:tr>
      <w:tr>
        <w:trPr>
          <w:cantSplit/>
        </w:trPr>
        <w:tc>
          <w:tcPr>
            <w:tcW w:type="dxa" w:w="792"/>
            <w:tcMar>
              <w:top w:w="45" w:type="dxa"/>
              <w:start w:w="120" w:type="dxa"/>
              <w:bottom w:w="45" w:type="dxa"/>
              <w:end w:w="120" w:type="dxa"/>
            </w:tcMar>
            <w:vAlign w:val="center"/>
            <w:shd w:fill="EAF2F8"/>
          </w:tcPr>
          <w:p>
            <w:pPr>
              <w:jc w:val="center"/>
            </w:pPr>
            <w:r>
              <w:rPr>
                <w:sz w:val="17"/>
              </w:rPr>
              <w:t>02</w:t>
            </w:r>
          </w:p>
        </w:tc>
        <w:tc>
          <w:tcPr>
            <w:tcW w:type="dxa" w:w="1296"/>
            <w:tcMar>
              <w:top w:w="45" w:type="dxa"/>
              <w:start w:w="120" w:type="dxa"/>
              <w:bottom w:w="45" w:type="dxa"/>
              <w:end w:w="120" w:type="dxa"/>
            </w:tcMar>
            <w:vAlign w:val="center"/>
            <w:shd w:fill="EAF2F8"/>
          </w:tcPr>
          <w:p>
            <w:pPr>
              <w:jc w:val="left"/>
            </w:pPr>
            <w:r>
              <w:rPr>
                <w:sz w:val="17"/>
              </w:rPr>
              <w:t>Clean</w:t>
            </w:r>
          </w:p>
        </w:tc>
        <w:tc>
          <w:tcPr>
            <w:tcW w:type="dxa" w:w="1440"/>
            <w:tcMar>
              <w:top w:w="45" w:type="dxa"/>
              <w:start w:w="120" w:type="dxa"/>
              <w:bottom w:w="45" w:type="dxa"/>
              <w:end w:w="120" w:type="dxa"/>
            </w:tcMar>
            <w:vAlign w:val="center"/>
            <w:shd w:fill="EAF2F8"/>
          </w:tcPr>
          <w:p>
            <w:pPr>
              <w:jc w:val="left"/>
            </w:pPr>
            <w:r>
              <w:rPr>
                <w:sz w:val="17"/>
              </w:rPr>
              <w:t>PR 2</w:t>
            </w:r>
          </w:p>
        </w:tc>
        <w:tc>
          <w:tcPr>
            <w:tcW w:type="dxa" w:w="6192"/>
            <w:tcMar>
              <w:top w:w="45" w:type="dxa"/>
              <w:start w:w="120" w:type="dxa"/>
              <w:bottom w:w="45" w:type="dxa"/>
              <w:end w:w="120" w:type="dxa"/>
            </w:tcMar>
            <w:vAlign w:val="center"/>
            <w:shd w:fill="EAF2F8"/>
          </w:tcPr>
          <w:p>
            <w:pPr>
              <w:jc w:val="left"/>
            </w:pPr>
            <w:r>
              <w:rPr>
                <w:sz w:val="17"/>
              </w:rPr>
              <w:t>No publishable finding</w:t>
            </w:r>
          </w:p>
        </w:tc>
      </w:tr>
      <w:tr>
        <w:trPr>
          <w:cantSplit/>
        </w:trPr>
        <w:tc>
          <w:tcPr>
            <w:tcW w:type="dxa" w:w="792"/>
            <w:tcMar>
              <w:top w:w="45" w:type="dxa"/>
              <w:start w:w="120" w:type="dxa"/>
              <w:bottom w:w="45" w:type="dxa"/>
              <w:end w:w="120" w:type="dxa"/>
            </w:tcMar>
            <w:vAlign w:val="center"/>
          </w:tcPr>
          <w:p>
            <w:pPr>
              <w:jc w:val="center"/>
            </w:pPr>
            <w:r>
              <w:rPr>
                <w:sz w:val="17"/>
              </w:rPr>
              <w:t>03</w:t>
            </w:r>
          </w:p>
        </w:tc>
        <w:tc>
          <w:tcPr>
            <w:tcW w:type="dxa" w:w="1296"/>
            <w:tcMar>
              <w:top w:w="45" w:type="dxa"/>
              <w:start w:w="120" w:type="dxa"/>
              <w:bottom w:w="45" w:type="dxa"/>
              <w:end w:w="120" w:type="dxa"/>
            </w:tcMar>
            <w:vAlign w:val="center"/>
          </w:tcPr>
          <w:p>
            <w:pPr>
              <w:jc w:val="left"/>
            </w:pPr>
            <w:r>
              <w:rPr>
                <w:sz w:val="17"/>
              </w:rPr>
              <w:t>Seeded</w:t>
            </w:r>
          </w:p>
        </w:tc>
        <w:tc>
          <w:tcPr>
            <w:tcW w:type="dxa" w:w="1440"/>
            <w:tcMar>
              <w:top w:w="45" w:type="dxa"/>
              <w:start w:w="120" w:type="dxa"/>
              <w:bottom w:w="45" w:type="dxa"/>
              <w:end w:w="120" w:type="dxa"/>
            </w:tcMar>
            <w:vAlign w:val="center"/>
          </w:tcPr>
          <w:p>
            <w:pPr>
              <w:jc w:val="left"/>
            </w:pPr>
            <w:r>
              <w:rPr>
                <w:sz w:val="17"/>
              </w:rPr>
              <w:t>PR 3</w:t>
            </w:r>
          </w:p>
        </w:tc>
        <w:tc>
          <w:tcPr>
            <w:tcW w:type="dxa" w:w="6192"/>
            <w:tcMar>
              <w:top w:w="45" w:type="dxa"/>
              <w:start w:w="120" w:type="dxa"/>
              <w:bottom w:w="45" w:type="dxa"/>
              <w:end w:w="120" w:type="dxa"/>
            </w:tcMar>
            <w:vAlign w:val="center"/>
          </w:tcPr>
          <w:p>
            <w:pPr>
              <w:jc w:val="left"/>
            </w:pPr>
            <w:r>
              <w:rPr>
                <w:sz w:val="17"/>
              </w:rPr>
              <w:t>Correctness</w:t>
            </w:r>
          </w:p>
        </w:tc>
      </w:tr>
      <w:tr>
        <w:trPr>
          <w:cantSplit/>
        </w:trPr>
        <w:tc>
          <w:tcPr>
            <w:tcW w:type="dxa" w:w="792"/>
            <w:tcMar>
              <w:top w:w="45" w:type="dxa"/>
              <w:start w:w="120" w:type="dxa"/>
              <w:bottom w:w="45" w:type="dxa"/>
              <w:end w:w="120" w:type="dxa"/>
            </w:tcMar>
            <w:vAlign w:val="center"/>
            <w:shd w:fill="EAF2F8"/>
          </w:tcPr>
          <w:p>
            <w:pPr>
              <w:jc w:val="center"/>
            </w:pPr>
            <w:r>
              <w:rPr>
                <w:sz w:val="17"/>
              </w:rPr>
              <w:t>04</w:t>
            </w:r>
          </w:p>
        </w:tc>
        <w:tc>
          <w:tcPr>
            <w:tcW w:type="dxa" w:w="1296"/>
            <w:tcMar>
              <w:top w:w="45" w:type="dxa"/>
              <w:start w:w="120" w:type="dxa"/>
              <w:bottom w:w="45" w:type="dxa"/>
              <w:end w:w="120" w:type="dxa"/>
            </w:tcMar>
            <w:vAlign w:val="center"/>
            <w:shd w:fill="EAF2F8"/>
          </w:tcPr>
          <w:p>
            <w:pPr>
              <w:jc w:val="left"/>
            </w:pPr>
            <w:r>
              <w:rPr>
                <w:sz w:val="17"/>
              </w:rPr>
              <w:t>Seeded</w:t>
            </w:r>
          </w:p>
        </w:tc>
        <w:tc>
          <w:tcPr>
            <w:tcW w:type="dxa" w:w="1440"/>
            <w:tcMar>
              <w:top w:w="45" w:type="dxa"/>
              <w:start w:w="120" w:type="dxa"/>
              <w:bottom w:w="45" w:type="dxa"/>
              <w:end w:w="120" w:type="dxa"/>
            </w:tcMar>
            <w:vAlign w:val="center"/>
            <w:shd w:fill="EAF2F8"/>
          </w:tcPr>
          <w:p>
            <w:pPr>
              <w:jc w:val="left"/>
            </w:pPr>
            <w:r>
              <w:rPr>
                <w:sz w:val="17"/>
              </w:rPr>
              <w:t>PR 6</w:t>
            </w:r>
          </w:p>
        </w:tc>
        <w:tc>
          <w:tcPr>
            <w:tcW w:type="dxa" w:w="6192"/>
            <w:tcMar>
              <w:top w:w="45" w:type="dxa"/>
              <w:start w:w="120" w:type="dxa"/>
              <w:bottom w:w="45" w:type="dxa"/>
              <w:end w:w="120" w:type="dxa"/>
            </w:tcMar>
            <w:vAlign w:val="center"/>
            <w:shd w:fill="EAF2F8"/>
          </w:tcPr>
          <w:p>
            <w:pPr>
              <w:jc w:val="left"/>
            </w:pPr>
            <w:r>
              <w:rPr>
                <w:sz w:val="17"/>
              </w:rPr>
              <w:t>Correctness</w:t>
            </w:r>
          </w:p>
        </w:tc>
      </w:tr>
      <w:tr>
        <w:trPr>
          <w:cantSplit/>
        </w:trPr>
        <w:tc>
          <w:tcPr>
            <w:tcW w:type="dxa" w:w="792"/>
            <w:tcMar>
              <w:top w:w="45" w:type="dxa"/>
              <w:start w:w="120" w:type="dxa"/>
              <w:bottom w:w="45" w:type="dxa"/>
              <w:end w:w="120" w:type="dxa"/>
            </w:tcMar>
            <w:vAlign w:val="center"/>
          </w:tcPr>
          <w:p>
            <w:pPr>
              <w:jc w:val="center"/>
            </w:pPr>
            <w:r>
              <w:rPr>
                <w:sz w:val="17"/>
              </w:rPr>
              <w:t>05</w:t>
            </w:r>
          </w:p>
        </w:tc>
        <w:tc>
          <w:tcPr>
            <w:tcW w:type="dxa" w:w="1296"/>
            <w:tcMar>
              <w:top w:w="45" w:type="dxa"/>
              <w:start w:w="120" w:type="dxa"/>
              <w:bottom w:w="45" w:type="dxa"/>
              <w:end w:w="120" w:type="dxa"/>
            </w:tcMar>
            <w:vAlign w:val="center"/>
          </w:tcPr>
          <w:p>
            <w:pPr>
              <w:jc w:val="left"/>
            </w:pPr>
            <w:r>
              <w:rPr>
                <w:sz w:val="17"/>
              </w:rPr>
              <w:t>Seeded</w:t>
            </w:r>
          </w:p>
        </w:tc>
        <w:tc>
          <w:tcPr>
            <w:tcW w:type="dxa" w:w="1440"/>
            <w:tcMar>
              <w:top w:w="45" w:type="dxa"/>
              <w:start w:w="120" w:type="dxa"/>
              <w:bottom w:w="45" w:type="dxa"/>
              <w:end w:w="120" w:type="dxa"/>
            </w:tcMar>
            <w:vAlign w:val="center"/>
          </w:tcPr>
          <w:p>
            <w:pPr>
              <w:jc w:val="left"/>
            </w:pPr>
            <w:r>
              <w:rPr>
                <w:sz w:val="17"/>
              </w:rPr>
              <w:t>PR 4</w:t>
            </w:r>
          </w:p>
        </w:tc>
        <w:tc>
          <w:tcPr>
            <w:tcW w:type="dxa" w:w="6192"/>
            <w:tcMar>
              <w:top w:w="45" w:type="dxa"/>
              <w:start w:w="120" w:type="dxa"/>
              <w:bottom w:w="45" w:type="dxa"/>
              <w:end w:w="120" w:type="dxa"/>
            </w:tcMar>
            <w:vAlign w:val="center"/>
          </w:tcPr>
          <w:p>
            <w:pPr>
              <w:jc w:val="left"/>
            </w:pPr>
            <w:r>
              <w:rPr>
                <w:sz w:val="17"/>
              </w:rPr>
              <w:t>Security</w:t>
            </w:r>
          </w:p>
        </w:tc>
      </w:tr>
      <w:tr>
        <w:trPr>
          <w:cantSplit/>
        </w:trPr>
        <w:tc>
          <w:tcPr>
            <w:tcW w:type="dxa" w:w="792"/>
            <w:tcMar>
              <w:top w:w="45" w:type="dxa"/>
              <w:start w:w="120" w:type="dxa"/>
              <w:bottom w:w="45" w:type="dxa"/>
              <w:end w:w="120" w:type="dxa"/>
            </w:tcMar>
            <w:vAlign w:val="center"/>
            <w:shd w:fill="EAF2F8"/>
          </w:tcPr>
          <w:p>
            <w:pPr>
              <w:jc w:val="center"/>
            </w:pPr>
            <w:r>
              <w:rPr>
                <w:sz w:val="17"/>
              </w:rPr>
              <w:t>06</w:t>
            </w:r>
          </w:p>
        </w:tc>
        <w:tc>
          <w:tcPr>
            <w:tcW w:type="dxa" w:w="1296"/>
            <w:tcMar>
              <w:top w:w="45" w:type="dxa"/>
              <w:start w:w="120" w:type="dxa"/>
              <w:bottom w:w="45" w:type="dxa"/>
              <w:end w:w="120" w:type="dxa"/>
            </w:tcMar>
            <w:vAlign w:val="center"/>
            <w:shd w:fill="EAF2F8"/>
          </w:tcPr>
          <w:p>
            <w:pPr>
              <w:jc w:val="left"/>
            </w:pPr>
            <w:r>
              <w:rPr>
                <w:sz w:val="17"/>
              </w:rPr>
              <w:t>Seeded</w:t>
            </w:r>
          </w:p>
        </w:tc>
        <w:tc>
          <w:tcPr>
            <w:tcW w:type="dxa" w:w="1440"/>
            <w:tcMar>
              <w:top w:w="45" w:type="dxa"/>
              <w:start w:w="120" w:type="dxa"/>
              <w:bottom w:w="45" w:type="dxa"/>
              <w:end w:w="120" w:type="dxa"/>
            </w:tcMar>
            <w:vAlign w:val="center"/>
            <w:shd w:fill="EAF2F8"/>
          </w:tcPr>
          <w:p>
            <w:pPr>
              <w:jc w:val="left"/>
            </w:pPr>
            <w:r>
              <w:rPr>
                <w:sz w:val="17"/>
              </w:rPr>
              <w:t>PR 5</w:t>
            </w:r>
          </w:p>
        </w:tc>
        <w:tc>
          <w:tcPr>
            <w:tcW w:type="dxa" w:w="6192"/>
            <w:tcMar>
              <w:top w:w="45" w:type="dxa"/>
              <w:start w:w="120" w:type="dxa"/>
              <w:bottom w:w="45" w:type="dxa"/>
              <w:end w:w="120" w:type="dxa"/>
            </w:tcMar>
            <w:vAlign w:val="center"/>
            <w:shd w:fill="EAF2F8"/>
          </w:tcPr>
          <w:p>
            <w:pPr>
              <w:jc w:val="left"/>
            </w:pPr>
            <w:r>
              <w:rPr>
                <w:sz w:val="17"/>
              </w:rPr>
              <w:t>Security</w:t>
            </w:r>
          </w:p>
        </w:tc>
      </w:tr>
      <w:tr>
        <w:trPr>
          <w:cantSplit/>
        </w:trPr>
        <w:tc>
          <w:tcPr>
            <w:tcW w:type="dxa" w:w="792"/>
            <w:tcMar>
              <w:top w:w="45" w:type="dxa"/>
              <w:start w:w="120" w:type="dxa"/>
              <w:bottom w:w="45" w:type="dxa"/>
              <w:end w:w="120" w:type="dxa"/>
            </w:tcMar>
            <w:vAlign w:val="center"/>
          </w:tcPr>
          <w:p>
            <w:pPr>
              <w:jc w:val="center"/>
            </w:pPr>
            <w:r>
              <w:rPr>
                <w:sz w:val="17"/>
              </w:rPr>
              <w:t>07</w:t>
            </w:r>
          </w:p>
        </w:tc>
        <w:tc>
          <w:tcPr>
            <w:tcW w:type="dxa" w:w="1296"/>
            <w:tcMar>
              <w:top w:w="45" w:type="dxa"/>
              <w:start w:w="120" w:type="dxa"/>
              <w:bottom w:w="45" w:type="dxa"/>
              <w:end w:w="120" w:type="dxa"/>
            </w:tcMar>
            <w:vAlign w:val="center"/>
          </w:tcPr>
          <w:p>
            <w:pPr>
              <w:jc w:val="left"/>
            </w:pPr>
            <w:r>
              <w:rPr>
                <w:sz w:val="17"/>
              </w:rPr>
              <w:t>Seeded</w:t>
            </w:r>
          </w:p>
        </w:tc>
        <w:tc>
          <w:tcPr>
            <w:tcW w:type="dxa" w:w="1440"/>
            <w:tcMar>
              <w:top w:w="45" w:type="dxa"/>
              <w:start w:w="120" w:type="dxa"/>
              <w:bottom w:w="45" w:type="dxa"/>
              <w:end w:w="120" w:type="dxa"/>
            </w:tcMar>
            <w:vAlign w:val="center"/>
          </w:tcPr>
          <w:p>
            <w:pPr>
              <w:jc w:val="left"/>
            </w:pPr>
            <w:r>
              <w:rPr>
                <w:sz w:val="17"/>
              </w:rPr>
              <w:t>PR 7</w:t>
            </w:r>
          </w:p>
        </w:tc>
        <w:tc>
          <w:tcPr>
            <w:tcW w:type="dxa" w:w="6192"/>
            <w:tcMar>
              <w:top w:w="45" w:type="dxa"/>
              <w:start w:w="120" w:type="dxa"/>
              <w:bottom w:w="45" w:type="dxa"/>
              <w:end w:w="120" w:type="dxa"/>
            </w:tcMar>
            <w:vAlign w:val="center"/>
          </w:tcPr>
          <w:p>
            <w:pPr>
              <w:jc w:val="left"/>
            </w:pPr>
            <w:r>
              <w:rPr>
                <w:sz w:val="17"/>
              </w:rPr>
              <w:t>Test gap</w:t>
            </w:r>
          </w:p>
        </w:tc>
      </w:tr>
      <w:tr>
        <w:trPr>
          <w:cantSplit/>
        </w:trPr>
        <w:tc>
          <w:tcPr>
            <w:tcW w:type="dxa" w:w="792"/>
            <w:tcMar>
              <w:top w:w="45" w:type="dxa"/>
              <w:start w:w="120" w:type="dxa"/>
              <w:bottom w:w="45" w:type="dxa"/>
              <w:end w:w="120" w:type="dxa"/>
            </w:tcMar>
            <w:vAlign w:val="center"/>
            <w:shd w:fill="EAF2F8"/>
          </w:tcPr>
          <w:p>
            <w:pPr>
              <w:jc w:val="center"/>
            </w:pPr>
            <w:r>
              <w:rPr>
                <w:sz w:val="17"/>
              </w:rPr>
              <w:t>08</w:t>
            </w:r>
          </w:p>
        </w:tc>
        <w:tc>
          <w:tcPr>
            <w:tcW w:type="dxa" w:w="1296"/>
            <w:tcMar>
              <w:top w:w="45" w:type="dxa"/>
              <w:start w:w="120" w:type="dxa"/>
              <w:bottom w:w="45" w:type="dxa"/>
              <w:end w:w="120" w:type="dxa"/>
            </w:tcMar>
            <w:vAlign w:val="center"/>
            <w:shd w:fill="EAF2F8"/>
          </w:tcPr>
          <w:p>
            <w:pPr>
              <w:jc w:val="left"/>
            </w:pPr>
            <w:r>
              <w:rPr>
                <w:sz w:val="17"/>
              </w:rPr>
              <w:t>Seeded</w:t>
            </w:r>
          </w:p>
        </w:tc>
        <w:tc>
          <w:tcPr>
            <w:tcW w:type="dxa" w:w="1440"/>
            <w:tcMar>
              <w:top w:w="45" w:type="dxa"/>
              <w:start w:w="120" w:type="dxa"/>
              <w:bottom w:w="45" w:type="dxa"/>
              <w:end w:w="120" w:type="dxa"/>
            </w:tcMar>
            <w:vAlign w:val="center"/>
            <w:shd w:fill="EAF2F8"/>
          </w:tcPr>
          <w:p>
            <w:pPr>
              <w:jc w:val="left"/>
            </w:pPr>
            <w:r>
              <w:rPr>
                <w:sz w:val="17"/>
              </w:rPr>
              <w:t>PR 9</w:t>
            </w:r>
          </w:p>
        </w:tc>
        <w:tc>
          <w:tcPr>
            <w:tcW w:type="dxa" w:w="6192"/>
            <w:tcMar>
              <w:top w:w="45" w:type="dxa"/>
              <w:start w:w="120" w:type="dxa"/>
              <w:bottom w:w="45" w:type="dxa"/>
              <w:end w:w="120" w:type="dxa"/>
            </w:tcMar>
            <w:vAlign w:val="center"/>
            <w:shd w:fill="EAF2F8"/>
          </w:tcPr>
          <w:p>
            <w:pPr>
              <w:jc w:val="left"/>
            </w:pPr>
            <w:r>
              <w:rPr>
                <w:sz w:val="17"/>
              </w:rPr>
              <w:t>Correctness</w:t>
            </w:r>
          </w:p>
        </w:tc>
      </w:tr>
      <w:tr>
        <w:trPr>
          <w:cantSplit/>
        </w:trPr>
        <w:tc>
          <w:tcPr>
            <w:tcW w:type="dxa" w:w="792"/>
            <w:tcMar>
              <w:top w:w="45" w:type="dxa"/>
              <w:start w:w="120" w:type="dxa"/>
              <w:bottom w:w="45" w:type="dxa"/>
              <w:end w:w="120" w:type="dxa"/>
            </w:tcMar>
            <w:vAlign w:val="center"/>
          </w:tcPr>
          <w:p>
            <w:pPr>
              <w:jc w:val="center"/>
            </w:pPr>
            <w:r>
              <w:rPr>
                <w:sz w:val="17"/>
              </w:rPr>
              <w:t>09</w:t>
            </w:r>
          </w:p>
        </w:tc>
        <w:tc>
          <w:tcPr>
            <w:tcW w:type="dxa" w:w="1296"/>
            <w:tcMar>
              <w:top w:w="45" w:type="dxa"/>
              <w:start w:w="120" w:type="dxa"/>
              <w:bottom w:w="45" w:type="dxa"/>
              <w:end w:w="120" w:type="dxa"/>
            </w:tcMar>
            <w:vAlign w:val="center"/>
          </w:tcPr>
          <w:p>
            <w:pPr>
              <w:jc w:val="left"/>
            </w:pPr>
            <w:r>
              <w:rPr>
                <w:sz w:val="17"/>
              </w:rPr>
              <w:t>Clean</w:t>
            </w:r>
          </w:p>
        </w:tc>
        <w:tc>
          <w:tcPr>
            <w:tcW w:type="dxa" w:w="1440"/>
            <w:tcMar>
              <w:top w:w="45" w:type="dxa"/>
              <w:start w:w="120" w:type="dxa"/>
              <w:bottom w:w="45" w:type="dxa"/>
              <w:end w:w="120" w:type="dxa"/>
            </w:tcMar>
            <w:vAlign w:val="center"/>
          </w:tcPr>
          <w:p>
            <w:pPr>
              <w:jc w:val="left"/>
            </w:pPr>
            <w:r>
              <w:rPr>
                <w:sz w:val="17"/>
              </w:rPr>
              <w:t>PR 8</w:t>
            </w:r>
          </w:p>
        </w:tc>
        <w:tc>
          <w:tcPr>
            <w:tcW w:type="dxa" w:w="6192"/>
            <w:tcMar>
              <w:top w:w="45" w:type="dxa"/>
              <w:start w:w="120" w:type="dxa"/>
              <w:bottom w:w="45" w:type="dxa"/>
              <w:end w:w="120" w:type="dxa"/>
            </w:tcMar>
            <w:vAlign w:val="center"/>
          </w:tcPr>
          <w:p>
            <w:pPr>
              <w:jc w:val="left"/>
            </w:pPr>
            <w:r>
              <w:rPr>
                <w:sz w:val="17"/>
              </w:rPr>
              <w:t>No publishable finding</w:t>
            </w:r>
          </w:p>
        </w:tc>
      </w:tr>
      <w:tr>
        <w:trPr>
          <w:cantSplit/>
        </w:trPr>
        <w:tc>
          <w:tcPr>
            <w:tcW w:type="dxa" w:w="792"/>
            <w:tcMar>
              <w:top w:w="45" w:type="dxa"/>
              <w:start w:w="120" w:type="dxa"/>
              <w:bottom w:w="45" w:type="dxa"/>
              <w:end w:w="120" w:type="dxa"/>
            </w:tcMar>
            <w:vAlign w:val="center"/>
            <w:shd w:fill="EAF2F8"/>
          </w:tcPr>
          <w:p>
            <w:pPr>
              <w:jc w:val="center"/>
            </w:pPr>
            <w:r>
              <w:rPr>
                <w:sz w:val="17"/>
              </w:rPr>
              <w:t>10</w:t>
            </w:r>
          </w:p>
        </w:tc>
        <w:tc>
          <w:tcPr>
            <w:tcW w:type="dxa" w:w="1296"/>
            <w:tcMar>
              <w:top w:w="45" w:type="dxa"/>
              <w:start w:w="120" w:type="dxa"/>
              <w:bottom w:w="45" w:type="dxa"/>
              <w:end w:w="120" w:type="dxa"/>
            </w:tcMar>
            <w:vAlign w:val="center"/>
            <w:shd w:fill="EAF2F8"/>
          </w:tcPr>
          <w:p>
            <w:pPr>
              <w:jc w:val="left"/>
            </w:pPr>
            <w:r>
              <w:rPr>
                <w:sz w:val="17"/>
              </w:rPr>
              <w:t>Recovery</w:t>
            </w:r>
          </w:p>
        </w:tc>
        <w:tc>
          <w:tcPr>
            <w:tcW w:type="dxa" w:w="1440"/>
            <w:tcMar>
              <w:top w:w="45" w:type="dxa"/>
              <w:start w:w="120" w:type="dxa"/>
              <w:bottom w:w="45" w:type="dxa"/>
              <w:end w:w="120" w:type="dxa"/>
            </w:tcMar>
            <w:vAlign w:val="center"/>
            <w:shd w:fill="EAF2F8"/>
          </w:tcPr>
          <w:p>
            <w:pPr>
              <w:jc w:val="left"/>
            </w:pPr>
            <w:r>
              <w:rPr>
                <w:sz w:val="17"/>
              </w:rPr>
              <w:t>PR 10</w:t>
            </w:r>
          </w:p>
        </w:tc>
        <w:tc>
          <w:tcPr>
            <w:tcW w:type="dxa" w:w="6192"/>
            <w:tcMar>
              <w:top w:w="45" w:type="dxa"/>
              <w:start w:w="120" w:type="dxa"/>
              <w:bottom w:w="45" w:type="dxa"/>
              <w:end w:w="120" w:type="dxa"/>
            </w:tcMar>
            <w:vAlign w:val="center"/>
            <w:shd w:fill="EAF2F8"/>
          </w:tcPr>
          <w:p>
            <w:pPr>
              <w:jc w:val="left"/>
            </w:pPr>
            <w:r>
              <w:rPr>
                <w:sz w:val="17"/>
              </w:rPr>
              <w:t>Correctness with one specialist failure</w:t>
            </w:r>
          </w:p>
        </w:tc>
      </w:tr>
    </w:tbl>
    <w:p>
      <w:pPr>
        <w:spacing w:after="40"/>
      </w:pPr>
    </w:p>
    <w:p>
      <w:r>
        <w:t>The version 2 catalog contains seven seeded defects, two clean controls, and one controlled malformed-recovery case. All ten pull requests are open, pinned to unique head SHAs, and use neutral metadata. Fixture creation did not call the model, publish a review comment, or merge a fixture.</w:t>
      </w:r>
    </w:p>
    <w:p>
      <w:r>
        <w:t>The authorized sequence preflighted all ten pins and stopped with clean-controls-produced-findings after golden-02 produced one high-severity correctness false positive. Golden-09 remained clean. The remaining seeded and recovery cases were then run once in diagnostic modes without overriding the failed official gate.</w:t>
      </w:r>
    </w:p>
    <w:p>
      <w:pPr>
        <w:pStyle w:val="Heading3"/>
        <w:keepNext/>
      </w:pPr>
      <w:r>
        <w:t>Fixture links</w:t>
      </w:r>
    </w:p>
    <w:p>
      <w:pPr>
        <w:spacing w:after="40"/>
      </w:pPr>
      <w:r>
        <w:rPr>
          <w:rFonts w:ascii="Aptos Mono" w:hAnsi="Aptos Mono"/>
          <w:sz w:val="17"/>
        </w:rPr>
        <w:t>01  https://github.com/melepatt/code-review-agent-demo/pull/1</w:t>
      </w:r>
    </w:p>
    <w:p>
      <w:pPr>
        <w:spacing w:after="40"/>
      </w:pPr>
      <w:r>
        <w:rPr>
          <w:rFonts w:ascii="Aptos Mono" w:hAnsi="Aptos Mono"/>
          <w:sz w:val="17"/>
        </w:rPr>
        <w:t>02  https://github.com/melepatt/code-review-agent-demo/pull/2</w:t>
      </w:r>
    </w:p>
    <w:p>
      <w:pPr>
        <w:spacing w:after="40"/>
      </w:pPr>
      <w:r>
        <w:rPr>
          <w:rFonts w:ascii="Aptos Mono" w:hAnsi="Aptos Mono"/>
          <w:sz w:val="17"/>
        </w:rPr>
        <w:t>03  https://github.com/melepatt/code-review-agent-demo/pull/3</w:t>
      </w:r>
    </w:p>
    <w:p>
      <w:pPr>
        <w:spacing w:after="40"/>
      </w:pPr>
      <w:r>
        <w:rPr>
          <w:rFonts w:ascii="Aptos Mono" w:hAnsi="Aptos Mono"/>
          <w:sz w:val="17"/>
        </w:rPr>
        <w:t>04  https://github.com/melepatt/code-review-agent-demo/pull/6</w:t>
      </w:r>
    </w:p>
    <w:p>
      <w:pPr>
        <w:spacing w:after="40"/>
      </w:pPr>
      <w:r>
        <w:rPr>
          <w:rFonts w:ascii="Aptos Mono" w:hAnsi="Aptos Mono"/>
          <w:sz w:val="17"/>
        </w:rPr>
        <w:t>05  https://github.com/melepatt/code-review-agent-demo/pull/4</w:t>
      </w:r>
    </w:p>
    <w:p>
      <w:pPr>
        <w:spacing w:after="40"/>
      </w:pPr>
      <w:r>
        <w:rPr>
          <w:rFonts w:ascii="Aptos Mono" w:hAnsi="Aptos Mono"/>
          <w:sz w:val="17"/>
        </w:rPr>
        <w:t>06  https://github.com/melepatt/code-review-agent-demo/pull/5</w:t>
      </w:r>
    </w:p>
    <w:p>
      <w:pPr>
        <w:spacing w:after="40"/>
      </w:pPr>
      <w:r>
        <w:rPr>
          <w:rFonts w:ascii="Aptos Mono" w:hAnsi="Aptos Mono"/>
          <w:sz w:val="17"/>
        </w:rPr>
        <w:t>07  https://github.com/melepatt/code-review-agent-demo/pull/7</w:t>
      </w:r>
    </w:p>
    <w:p>
      <w:pPr>
        <w:spacing w:after="40"/>
      </w:pPr>
      <w:r>
        <w:rPr>
          <w:rFonts w:ascii="Aptos Mono" w:hAnsi="Aptos Mono"/>
          <w:sz w:val="17"/>
        </w:rPr>
        <w:t>08  https://github.com/melepatt/code-review-agent-demo/pull/9</w:t>
      </w:r>
    </w:p>
    <w:p>
      <w:pPr>
        <w:spacing w:after="40"/>
      </w:pPr>
      <w:r>
        <w:rPr>
          <w:rFonts w:ascii="Aptos Mono" w:hAnsi="Aptos Mono"/>
          <w:sz w:val="17"/>
        </w:rPr>
        <w:t>09  https://github.com/melepatt/code-review-agent-demo/pull/8</w:t>
      </w:r>
    </w:p>
    <w:p>
      <w:pPr>
        <w:spacing w:after="40"/>
      </w:pPr>
      <w:r>
        <w:rPr>
          <w:rFonts w:ascii="Aptos Mono" w:hAnsi="Aptos Mono"/>
          <w:sz w:val="17"/>
        </w:rPr>
        <w:t>10  https://github.com/melepatt/code-review-agent-demo/pull/10</w:t>
      </w:r>
    </w:p>
    <w:p>
      <w:pPr>
        <w:pStyle w:val="Heading1"/>
        <w:keepNext/>
      </w:pPr>
      <w:r>
        <w:t>Evidence status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93"/>
        <w:gridCol w:w="3293"/>
        <w:gridCol w:w="3293"/>
      </w:tblGrid>
      <w:tr>
        <w:trPr>
          <w:tblHeader w:val="true"/>
          <w:cantSplit/>
        </w:trPr>
        <w:tc>
          <w:tcPr>
            <w:tcW w:type="dxa" w:w="2520"/>
            <w:shd w:fill="17365D"/>
            <w:tcMar>
              <w:top w:w="110" w:type="dxa"/>
              <w:start w:w="120" w:type="dxa"/>
              <w:bottom w:w="110" w:type="dxa"/>
              <w:end w:w="120" w:type="dxa"/>
            </w:tcMar>
            <w:vAlign w:val="center"/>
          </w:tcPr>
          <w:p>
            <w:pPr>
              <w:jc w:val="center"/>
            </w:pPr>
            <w:r>
              <w:rPr>
                <w:b/>
                <w:color w:val="FFFFFF"/>
                <w:sz w:val="18"/>
              </w:rPr>
              <w:t>Evidence class</w:t>
            </w:r>
          </w:p>
        </w:tc>
        <w:tc>
          <w:tcPr>
            <w:tcW w:type="dxa" w:w="1656"/>
            <w:shd w:fill="17365D"/>
            <w:tcMar>
              <w:top w:w="110" w:type="dxa"/>
              <w:start w:w="120" w:type="dxa"/>
              <w:bottom w:w="110" w:type="dxa"/>
              <w:end w:w="120" w:type="dxa"/>
            </w:tcMar>
            <w:vAlign w:val="center"/>
          </w:tcPr>
          <w:p>
            <w:pPr>
              <w:jc w:val="center"/>
            </w:pPr>
            <w:r>
              <w:rPr>
                <w:b/>
                <w:color w:val="FFFFFF"/>
                <w:sz w:val="18"/>
              </w:rPr>
              <w:t>Status</w:t>
            </w:r>
          </w:p>
        </w:tc>
        <w:tc>
          <w:tcPr>
            <w:tcW w:type="dxa" w:w="5544"/>
            <w:shd w:fill="17365D"/>
            <w:tcMar>
              <w:top w:w="110" w:type="dxa"/>
              <w:start w:w="120" w:type="dxa"/>
              <w:bottom w:w="110" w:type="dxa"/>
              <w:end w:w="120" w:type="dxa"/>
            </w:tcMar>
            <w:vAlign w:val="center"/>
          </w:tcPr>
          <w:p>
            <w:pPr>
              <w:jc w:val="center"/>
            </w:pPr>
            <w:r>
              <w:rPr>
                <w:b/>
                <w:color w:val="FFFFFF"/>
                <w:sz w:val="18"/>
              </w:rPr>
              <w:t>Interpretation</w:t>
            </w:r>
          </w:p>
        </w:tc>
      </w:tr>
      <w:tr>
        <w:trPr>
          <w:cantSplit/>
        </w:trPr>
        <w:tc>
          <w:tcPr>
            <w:tcW w:type="dxa" w:w="2520"/>
            <w:tcMar>
              <w:top w:w="110" w:type="dxa"/>
              <w:start w:w="120" w:type="dxa"/>
              <w:bottom w:w="110" w:type="dxa"/>
              <w:end w:w="120" w:type="dxa"/>
            </w:tcMar>
            <w:vAlign w:val="center"/>
          </w:tcPr>
          <w:p>
            <w:pPr>
              <w:jc w:val="center"/>
            </w:pPr>
            <w:r>
              <w:rPr>
                <w:sz w:val="18"/>
              </w:rPr>
              <w:t>Offline regression</w:t>
            </w:r>
          </w:p>
        </w:tc>
        <w:tc>
          <w:tcPr>
            <w:tcW w:type="dxa" w:w="1656"/>
            <w:tcMar>
              <w:top w:w="110" w:type="dxa"/>
              <w:start w:w="120" w:type="dxa"/>
              <w:bottom w:w="110" w:type="dxa"/>
              <w:end w:w="120" w:type="dxa"/>
            </w:tcMar>
            <w:vAlign w:val="center"/>
          </w:tcPr>
          <w:p>
            <w:pPr>
              <w:jc w:val="left"/>
            </w:pPr>
            <w:r>
              <w:rPr>
                <w:sz w:val="18"/>
              </w:rPr>
              <w:t>Passed</w:t>
            </w:r>
          </w:p>
        </w:tc>
        <w:tc>
          <w:tcPr>
            <w:tcW w:type="dxa" w:w="5544"/>
            <w:tcMar>
              <w:top w:w="110" w:type="dxa"/>
              <w:start w:w="120" w:type="dxa"/>
              <w:bottom w:w="110" w:type="dxa"/>
              <w:end w:w="120" w:type="dxa"/>
            </w:tcMar>
            <w:vAlign w:val="center"/>
          </w:tcPr>
          <w:p>
            <w:pPr>
              <w:jc w:val="left"/>
            </w:pPr>
            <w:r>
              <w:rPr>
                <w:sz w:val="18"/>
              </w:rPr>
              <w:t>175 tests and 92.60 percent branch coverage</w:t>
            </w:r>
          </w:p>
        </w:tc>
      </w:tr>
      <w:tr>
        <w:trPr>
          <w:cantSplit/>
        </w:trPr>
        <w:tc>
          <w:tcPr>
            <w:tcW w:type="dxa" w:w="2520"/>
            <w:tcMar>
              <w:top w:w="110" w:type="dxa"/>
              <w:start w:w="120" w:type="dxa"/>
              <w:bottom w:w="110" w:type="dxa"/>
              <w:end w:w="120" w:type="dxa"/>
            </w:tcMar>
            <w:vAlign w:val="center"/>
            <w:shd w:fill="EAF2F8"/>
          </w:tcPr>
          <w:p>
            <w:pPr>
              <w:jc w:val="center"/>
            </w:pPr>
            <w:r>
              <w:rPr>
                <w:sz w:val="18"/>
              </w:rPr>
              <w:t>Golden fixture setup</w:t>
            </w:r>
          </w:p>
        </w:tc>
        <w:tc>
          <w:tcPr>
            <w:tcW w:type="dxa" w:w="1656"/>
            <w:tcMar>
              <w:top w:w="110" w:type="dxa"/>
              <w:start w:w="120" w:type="dxa"/>
              <w:bottom w:w="110" w:type="dxa"/>
              <w:end w:w="120" w:type="dxa"/>
            </w:tcMar>
            <w:vAlign w:val="center"/>
            <w:shd w:fill="EAF2F8"/>
          </w:tcPr>
          <w:p>
            <w:pPr>
              <w:jc w:val="left"/>
            </w:pPr>
            <w:r>
              <w:rPr>
                <w:sz w:val="18"/>
              </w:rPr>
              <w:t>Verified</w:t>
            </w:r>
          </w:p>
        </w:tc>
        <w:tc>
          <w:tcPr>
            <w:tcW w:type="dxa" w:w="5544"/>
            <w:tcMar>
              <w:top w:w="110" w:type="dxa"/>
              <w:start w:w="120" w:type="dxa"/>
              <w:bottom w:w="110" w:type="dxa"/>
              <w:end w:w="120" w:type="dxa"/>
            </w:tcMar>
            <w:vAlign w:val="center"/>
            <w:shd w:fill="EAF2F8"/>
          </w:tcPr>
          <w:p>
            <w:pPr>
              <w:jc w:val="left"/>
            </w:pPr>
            <w:r>
              <w:rPr>
                <w:sz w:val="18"/>
              </w:rPr>
              <w:t>Ten open pinned PRs; no model call, comment, or merge</w:t>
            </w:r>
          </w:p>
        </w:tc>
      </w:tr>
      <w:tr>
        <w:trPr>
          <w:cantSplit/>
        </w:trPr>
        <w:tc>
          <w:tcPr>
            <w:tcW w:type="dxa" w:w="2520"/>
            <w:tcMar>
              <w:top w:w="110" w:type="dxa"/>
              <w:start w:w="120" w:type="dxa"/>
              <w:bottom w:w="110" w:type="dxa"/>
              <w:end w:w="120" w:type="dxa"/>
            </w:tcMar>
            <w:vAlign w:val="center"/>
          </w:tcPr>
          <w:p>
            <w:pPr>
              <w:jc w:val="center"/>
            </w:pPr>
            <w:r>
              <w:rPr>
                <w:sz w:val="18"/>
              </w:rPr>
              <w:t>Official live evaluation</w:t>
            </w:r>
          </w:p>
        </w:tc>
        <w:tc>
          <w:tcPr>
            <w:tcW w:type="dxa" w:w="1656"/>
            <w:tcMar>
              <w:top w:w="110" w:type="dxa"/>
              <w:start w:w="120" w:type="dxa"/>
              <w:bottom w:w="110" w:type="dxa"/>
              <w:end w:w="120" w:type="dxa"/>
            </w:tcMar>
            <w:vAlign w:val="center"/>
          </w:tcPr>
          <w:p>
            <w:pPr>
              <w:jc w:val="left"/>
            </w:pPr>
            <w:r>
              <w:rPr>
                <w:sz w:val="18"/>
              </w:rPr>
              <w:t>Failed</w:t>
            </w:r>
          </w:p>
        </w:tc>
        <w:tc>
          <w:tcPr>
            <w:tcW w:type="dxa" w:w="5544"/>
            <w:tcMar>
              <w:top w:w="110" w:type="dxa"/>
              <w:start w:w="120" w:type="dxa"/>
              <w:bottom w:w="110" w:type="dxa"/>
              <w:end w:w="120" w:type="dxa"/>
            </w:tcMar>
            <w:vAlign w:val="center"/>
          </w:tcPr>
          <w:p>
            <w:pPr>
              <w:jc w:val="left"/>
            </w:pPr>
            <w:r>
              <w:rPr>
                <w:sz w:val="18"/>
              </w:rPr>
              <w:t>Stopped at clean controls: clean-controls-produced-findings</w:t>
            </w:r>
          </w:p>
        </w:tc>
      </w:tr>
      <w:tr>
        <w:trPr>
          <w:cantSplit/>
        </w:trPr>
        <w:tc>
          <w:tcPr>
            <w:tcW w:type="dxa" w:w="2520"/>
            <w:tcMar>
              <w:top w:w="110" w:type="dxa"/>
              <w:start w:w="120" w:type="dxa"/>
              <w:bottom w:w="110" w:type="dxa"/>
              <w:end w:w="120" w:type="dxa"/>
            </w:tcMar>
            <w:vAlign w:val="center"/>
            <w:shd w:fill="EAF2F8"/>
          </w:tcPr>
          <w:p>
            <w:pPr>
              <w:jc w:val="center"/>
            </w:pPr>
            <w:r>
              <w:rPr>
                <w:sz w:val="18"/>
              </w:rPr>
              <w:t>Diagnostic live coverage</w:t>
            </w:r>
          </w:p>
        </w:tc>
        <w:tc>
          <w:tcPr>
            <w:tcW w:type="dxa" w:w="1656"/>
            <w:tcMar>
              <w:top w:w="110" w:type="dxa"/>
              <w:start w:w="120" w:type="dxa"/>
              <w:bottom w:w="110" w:type="dxa"/>
              <w:end w:w="120" w:type="dxa"/>
            </w:tcMar>
            <w:vAlign w:val="center"/>
            <w:shd w:fill="EAF2F8"/>
          </w:tcPr>
          <w:p>
            <w:pPr>
              <w:jc w:val="left"/>
            </w:pPr>
            <w:r>
              <w:rPr>
                <w:sz w:val="18"/>
              </w:rPr>
              <w:t>Recorded</w:t>
            </w:r>
          </w:p>
        </w:tc>
        <w:tc>
          <w:tcPr>
            <w:tcW w:type="dxa" w:w="5544"/>
            <w:tcMar>
              <w:top w:w="110" w:type="dxa"/>
              <w:start w:w="120" w:type="dxa"/>
              <w:bottom w:w="110" w:type="dxa"/>
              <w:end w:w="120" w:type="dxa"/>
            </w:tcMar>
            <w:vAlign w:val="center"/>
            <w:shd w:fill="EAF2F8"/>
          </w:tcPr>
          <w:p>
            <w:pPr>
              <w:jc w:val="left"/>
            </w:pPr>
            <w:r>
              <w:rPr>
                <w:sz w:val="18"/>
              </w:rPr>
              <w:t>Ten unique cases across clean, seeded, and recovery artifacts</w:t>
            </w:r>
          </w:p>
        </w:tc>
      </w:tr>
      <w:tr>
        <w:trPr>
          <w:cantSplit/>
        </w:trPr>
        <w:tc>
          <w:tcPr>
            <w:tcW w:type="dxa" w:w="2520"/>
            <w:tcMar>
              <w:top w:w="110" w:type="dxa"/>
              <w:start w:w="120" w:type="dxa"/>
              <w:bottom w:w="110" w:type="dxa"/>
              <w:end w:w="120" w:type="dxa"/>
            </w:tcMar>
            <w:vAlign w:val="center"/>
          </w:tcPr>
          <w:p>
            <w:pPr>
              <w:jc w:val="center"/>
            </w:pPr>
            <w:r>
              <w:rPr>
                <w:sz w:val="18"/>
              </w:rPr>
              <w:t>Controlled GitHub publication</w:t>
            </w:r>
          </w:p>
        </w:tc>
        <w:tc>
          <w:tcPr>
            <w:tcW w:type="dxa" w:w="1656"/>
            <w:tcMar>
              <w:top w:w="110" w:type="dxa"/>
              <w:start w:w="120" w:type="dxa"/>
              <w:bottom w:w="110" w:type="dxa"/>
              <w:end w:w="120" w:type="dxa"/>
            </w:tcMar>
            <w:vAlign w:val="center"/>
          </w:tcPr>
          <w:p>
            <w:pPr>
              <w:jc w:val="left"/>
            </w:pPr>
            <w:r>
              <w:rPr>
                <w:sz w:val="18"/>
              </w:rPr>
              <w:t>Not run</w:t>
            </w:r>
          </w:p>
        </w:tc>
        <w:tc>
          <w:tcPr>
            <w:tcW w:type="dxa" w:w="5544"/>
            <w:tcMar>
              <w:top w:w="110" w:type="dxa"/>
              <w:start w:w="120" w:type="dxa"/>
              <w:bottom w:w="110" w:type="dxa"/>
              <w:end w:w="120" w:type="dxa"/>
            </w:tcMar>
            <w:vAlign w:val="center"/>
          </w:tcPr>
          <w:p>
            <w:pPr>
              <w:jc w:val="left"/>
            </w:pPr>
            <w:r>
              <w:rPr>
                <w:sz w:val="18"/>
              </w:rPr>
              <w:t>No external comment was created or updated</w:t>
            </w:r>
          </w:p>
        </w:tc>
      </w:tr>
    </w:tbl>
    <w:p>
      <w:pPr>
        <w:spacing w:after="40"/>
      </w:pPr>
    </w:p>
    <w:p>
      <w:r>
        <w:t>The diagnostic aggregate does not convert the stopped sequence into a pass. GitHub review publication: Not run. A live model run does not authorize an external write.</w:t>
      </w:r>
    </w:p>
    <w:p>
      <w:pPr>
        <w:pStyle w:val="Heading2"/>
        <w:keepNext/>
      </w:pPr>
      <w:r>
        <w:t>Live evaluation baseline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93"/>
        <w:gridCol w:w="3293"/>
        <w:gridCol w:w="3293"/>
      </w:tblGrid>
      <w:tr>
        <w:trPr>
          <w:tblHeader w:val="true"/>
          <w:cantSplit/>
        </w:trPr>
        <w:tc>
          <w:tcPr>
            <w:tcW w:type="dxa" w:w="2376"/>
            <w:shd w:fill="17365D"/>
            <w:tcMar>
              <w:top w:w="70" w:type="dxa"/>
              <w:start w:w="120" w:type="dxa"/>
              <w:bottom w:w="70" w:type="dxa"/>
              <w:end w:w="120" w:type="dxa"/>
            </w:tcMar>
            <w:vAlign w:val="center"/>
          </w:tcPr>
          <w:p>
            <w:pPr>
              <w:jc w:val="center"/>
            </w:pPr>
            <w:r>
              <w:rPr>
                <w:b/>
                <w:color w:val="FFFFFF"/>
                <w:sz w:val="17"/>
              </w:rPr>
              <w:t>Measure</w:t>
            </w:r>
          </w:p>
        </w:tc>
        <w:tc>
          <w:tcPr>
            <w:tcW w:type="dxa" w:w="1800"/>
            <w:shd w:fill="17365D"/>
            <w:tcMar>
              <w:top w:w="70" w:type="dxa"/>
              <w:start w:w="120" w:type="dxa"/>
              <w:bottom w:w="70" w:type="dxa"/>
              <w:end w:w="120" w:type="dxa"/>
            </w:tcMar>
            <w:vAlign w:val="center"/>
          </w:tcPr>
          <w:p>
            <w:pPr>
              <w:jc w:val="center"/>
            </w:pPr>
            <w:r>
              <w:rPr>
                <w:b/>
                <w:color w:val="FFFFFF"/>
                <w:sz w:val="17"/>
              </w:rPr>
              <w:t>Result</w:t>
            </w:r>
          </w:p>
        </w:tc>
        <w:tc>
          <w:tcPr>
            <w:tcW w:type="dxa" w:w="5544"/>
            <w:shd w:fill="17365D"/>
            <w:tcMar>
              <w:top w:w="70" w:type="dxa"/>
              <w:start w:w="120" w:type="dxa"/>
              <w:bottom w:w="70" w:type="dxa"/>
              <w:end w:w="120" w:type="dxa"/>
            </w:tcMar>
            <w:vAlign w:val="center"/>
          </w:tcPr>
          <w:p>
            <w:pPr>
              <w:jc w:val="center"/>
            </w:pPr>
            <w:r>
              <w:rPr>
                <w:b/>
                <w:color w:val="FFFFFF"/>
                <w:sz w:val="17"/>
              </w:rPr>
              <w:t>Interpretation</w:t>
            </w:r>
          </w:p>
        </w:tc>
      </w:tr>
      <w:tr>
        <w:trPr>
          <w:cantSplit/>
        </w:trPr>
        <w:tc>
          <w:tcPr>
            <w:tcW w:type="dxa" w:w="2376"/>
            <w:tcMar>
              <w:top w:w="70" w:type="dxa"/>
              <w:start w:w="120" w:type="dxa"/>
              <w:bottom w:w="70" w:type="dxa"/>
              <w:end w:w="120" w:type="dxa"/>
            </w:tcMar>
            <w:vAlign w:val="center"/>
          </w:tcPr>
          <w:p>
            <w:pPr>
              <w:jc w:val="center"/>
            </w:pPr>
            <w:r>
              <w:rPr>
                <w:sz w:val="17"/>
              </w:rPr>
              <w:t>Recall</w:t>
            </w:r>
          </w:p>
        </w:tc>
        <w:tc>
          <w:tcPr>
            <w:tcW w:type="dxa" w:w="1800"/>
            <w:tcMar>
              <w:top w:w="70" w:type="dxa"/>
              <w:start w:w="120" w:type="dxa"/>
              <w:bottom w:w="70" w:type="dxa"/>
              <w:end w:w="120" w:type="dxa"/>
            </w:tcMar>
            <w:vAlign w:val="center"/>
          </w:tcPr>
          <w:p>
            <w:pPr>
              <w:jc w:val="left"/>
            </w:pPr>
            <w:r>
              <w:rPr>
                <w:sz w:val="17"/>
              </w:rPr>
              <w:t>10 percent</w:t>
            </w:r>
          </w:p>
        </w:tc>
        <w:tc>
          <w:tcPr>
            <w:tcW w:type="dxa" w:w="5544"/>
            <w:tcMar>
              <w:top w:w="70" w:type="dxa"/>
              <w:start w:w="120" w:type="dxa"/>
              <w:bottom w:w="70" w:type="dxa"/>
              <w:end w:w="120" w:type="dxa"/>
            </w:tcMar>
            <w:vAlign w:val="center"/>
          </w:tcPr>
          <w:p>
            <w:pPr>
              <w:jc w:val="left"/>
            </w:pPr>
            <w:r>
              <w:rPr>
                <w:sz w:val="17"/>
              </w:rPr>
              <w:t>One of ten expected findings matched</w:t>
            </w:r>
          </w:p>
        </w:tc>
      </w:tr>
      <w:tr>
        <w:trPr>
          <w:cantSplit/>
        </w:trPr>
        <w:tc>
          <w:tcPr>
            <w:tcW w:type="dxa" w:w="2376"/>
            <w:tcMar>
              <w:top w:w="70" w:type="dxa"/>
              <w:start w:w="120" w:type="dxa"/>
              <w:bottom w:w="70" w:type="dxa"/>
              <w:end w:w="120" w:type="dxa"/>
            </w:tcMar>
            <w:vAlign w:val="center"/>
            <w:shd w:fill="EAF2F8"/>
          </w:tcPr>
          <w:p>
            <w:pPr>
              <w:jc w:val="center"/>
            </w:pPr>
            <w:r>
              <w:rPr>
                <w:sz w:val="17"/>
              </w:rPr>
              <w:t>Precision</w:t>
            </w:r>
          </w:p>
        </w:tc>
        <w:tc>
          <w:tcPr>
            <w:tcW w:type="dxa" w:w="1800"/>
            <w:tcMar>
              <w:top w:w="70" w:type="dxa"/>
              <w:start w:w="120" w:type="dxa"/>
              <w:bottom w:w="70" w:type="dxa"/>
              <w:end w:w="120" w:type="dxa"/>
            </w:tcMar>
            <w:vAlign w:val="center"/>
            <w:shd w:fill="EAF2F8"/>
          </w:tcPr>
          <w:p>
            <w:pPr>
              <w:jc w:val="left"/>
            </w:pPr>
            <w:r>
              <w:rPr>
                <w:sz w:val="17"/>
              </w:rPr>
              <w:t>14.29 percent</w:t>
            </w:r>
          </w:p>
        </w:tc>
        <w:tc>
          <w:tcPr>
            <w:tcW w:type="dxa" w:w="5544"/>
            <w:tcMar>
              <w:top w:w="70" w:type="dxa"/>
              <w:start w:w="120" w:type="dxa"/>
              <w:bottom w:w="70" w:type="dxa"/>
              <w:end w:w="120" w:type="dxa"/>
            </w:tcMar>
            <w:vAlign w:val="center"/>
            <w:shd w:fill="EAF2F8"/>
          </w:tcPr>
          <w:p>
            <w:pPr>
              <w:jc w:val="left"/>
            </w:pPr>
            <w:r>
              <w:rPr>
                <w:sz w:val="17"/>
              </w:rPr>
              <w:t>One of seven accepted findings matched</w:t>
            </w:r>
          </w:p>
        </w:tc>
      </w:tr>
      <w:tr>
        <w:trPr>
          <w:cantSplit/>
        </w:trPr>
        <w:tc>
          <w:tcPr>
            <w:tcW w:type="dxa" w:w="2376"/>
            <w:tcMar>
              <w:top w:w="70" w:type="dxa"/>
              <w:start w:w="120" w:type="dxa"/>
              <w:bottom w:w="70" w:type="dxa"/>
              <w:end w:w="120" w:type="dxa"/>
            </w:tcMar>
            <w:vAlign w:val="center"/>
          </w:tcPr>
          <w:p>
            <w:pPr>
              <w:jc w:val="center"/>
            </w:pPr>
            <w:r>
              <w:rPr>
                <w:sz w:val="17"/>
              </w:rPr>
              <w:t>Specialist completion</w:t>
            </w:r>
          </w:p>
        </w:tc>
        <w:tc>
          <w:tcPr>
            <w:tcW w:type="dxa" w:w="1800"/>
            <w:tcMar>
              <w:top w:w="70" w:type="dxa"/>
              <w:start w:w="120" w:type="dxa"/>
              <w:bottom w:w="70" w:type="dxa"/>
              <w:end w:w="120" w:type="dxa"/>
            </w:tcMar>
            <w:vAlign w:val="center"/>
          </w:tcPr>
          <w:p>
            <w:pPr>
              <w:jc w:val="left"/>
            </w:pPr>
            <w:r>
              <w:rPr>
                <w:sz w:val="17"/>
              </w:rPr>
              <w:t>93.33 percent</w:t>
            </w:r>
          </w:p>
        </w:tc>
        <w:tc>
          <w:tcPr>
            <w:tcW w:type="dxa" w:w="5544"/>
            <w:tcMar>
              <w:top w:w="70" w:type="dxa"/>
              <w:start w:w="120" w:type="dxa"/>
              <w:bottom w:w="70" w:type="dxa"/>
              <w:end w:w="120" w:type="dxa"/>
            </w:tcMar>
            <w:vAlign w:val="center"/>
          </w:tcPr>
          <w:p>
            <w:pPr>
              <w:jc w:val="left"/>
            </w:pPr>
            <w:r>
              <w:rPr>
                <w:sz w:val="17"/>
              </w:rPr>
              <w:t>28 of 30 specialist slots completed</w:t>
            </w:r>
          </w:p>
        </w:tc>
      </w:tr>
      <w:tr>
        <w:trPr>
          <w:cantSplit/>
        </w:trPr>
        <w:tc>
          <w:tcPr>
            <w:tcW w:type="dxa" w:w="2376"/>
            <w:tcMar>
              <w:top w:w="70" w:type="dxa"/>
              <w:start w:w="120" w:type="dxa"/>
              <w:bottom w:w="70" w:type="dxa"/>
              <w:end w:w="120" w:type="dxa"/>
            </w:tcMar>
            <w:vAlign w:val="center"/>
            <w:shd w:fill="EAF2F8"/>
          </w:tcPr>
          <w:p>
            <w:pPr>
              <w:jc w:val="center"/>
            </w:pPr>
            <w:r>
              <w:rPr>
                <w:sz w:val="17"/>
              </w:rPr>
              <w:t>Duplicate rate</w:t>
            </w:r>
          </w:p>
        </w:tc>
        <w:tc>
          <w:tcPr>
            <w:tcW w:type="dxa" w:w="1800"/>
            <w:tcMar>
              <w:top w:w="70" w:type="dxa"/>
              <w:start w:w="120" w:type="dxa"/>
              <w:bottom w:w="70" w:type="dxa"/>
              <w:end w:w="120" w:type="dxa"/>
            </w:tcMar>
            <w:vAlign w:val="center"/>
            <w:shd w:fill="EAF2F8"/>
          </w:tcPr>
          <w:p>
            <w:pPr>
              <w:jc w:val="left"/>
            </w:pPr>
            <w:r>
              <w:rPr>
                <w:sz w:val="17"/>
              </w:rPr>
              <w:t>0 percent</w:t>
            </w:r>
          </w:p>
        </w:tc>
        <w:tc>
          <w:tcPr>
            <w:tcW w:type="dxa" w:w="5544"/>
            <w:tcMar>
              <w:top w:w="70" w:type="dxa"/>
              <w:start w:w="120" w:type="dxa"/>
              <w:bottom w:w="70" w:type="dxa"/>
              <w:end w:w="120" w:type="dxa"/>
            </w:tcMar>
            <w:vAlign w:val="center"/>
            <w:shd w:fill="EAF2F8"/>
          </w:tcPr>
          <w:p>
            <w:pPr>
              <w:jc w:val="left"/>
            </w:pPr>
            <w:r>
              <w:rPr>
                <w:sz w:val="17"/>
              </w:rPr>
              <w:t>No duplicate accepted coordinates</w:t>
            </w:r>
          </w:p>
        </w:tc>
      </w:tr>
      <w:tr>
        <w:trPr>
          <w:cantSplit/>
        </w:trPr>
        <w:tc>
          <w:tcPr>
            <w:tcW w:type="dxa" w:w="2376"/>
            <w:tcMar>
              <w:top w:w="70" w:type="dxa"/>
              <w:start w:w="120" w:type="dxa"/>
              <w:bottom w:w="70" w:type="dxa"/>
              <w:end w:w="120" w:type="dxa"/>
            </w:tcMar>
            <w:vAlign w:val="center"/>
          </w:tcPr>
          <w:p>
            <w:pPr>
              <w:jc w:val="center"/>
            </w:pPr>
            <w:r>
              <w:rPr>
                <w:sz w:val="17"/>
              </w:rPr>
              <w:t>Clean behavior</w:t>
            </w:r>
          </w:p>
        </w:tc>
        <w:tc>
          <w:tcPr>
            <w:tcW w:type="dxa" w:w="1800"/>
            <w:tcMar>
              <w:top w:w="70" w:type="dxa"/>
              <w:start w:w="120" w:type="dxa"/>
              <w:bottom w:w="70" w:type="dxa"/>
              <w:end w:w="120" w:type="dxa"/>
            </w:tcMar>
            <w:vAlign w:val="center"/>
          </w:tcPr>
          <w:p>
            <w:pPr>
              <w:jc w:val="left"/>
            </w:pPr>
            <w:r>
              <w:rPr>
                <w:sz w:val="17"/>
              </w:rPr>
              <w:t>Failed</w:t>
            </w:r>
          </w:p>
        </w:tc>
        <w:tc>
          <w:tcPr>
            <w:tcW w:type="dxa" w:w="5544"/>
            <w:tcMar>
              <w:top w:w="70" w:type="dxa"/>
              <w:start w:w="120" w:type="dxa"/>
              <w:bottom w:w="70" w:type="dxa"/>
              <w:end w:w="120" w:type="dxa"/>
            </w:tcMar>
            <w:vAlign w:val="center"/>
          </w:tcPr>
          <w:p>
            <w:pPr>
              <w:jc w:val="left"/>
            </w:pPr>
            <w:r>
              <w:rPr>
                <w:sz w:val="17"/>
              </w:rPr>
              <w:t>Golden-02 produced one false positive</w:t>
            </w:r>
          </w:p>
        </w:tc>
      </w:tr>
      <w:tr>
        <w:trPr>
          <w:cantSplit/>
        </w:trPr>
        <w:tc>
          <w:tcPr>
            <w:tcW w:type="dxa" w:w="2376"/>
            <w:tcMar>
              <w:top w:w="70" w:type="dxa"/>
              <w:start w:w="120" w:type="dxa"/>
              <w:bottom w:w="70" w:type="dxa"/>
              <w:end w:w="120" w:type="dxa"/>
            </w:tcMar>
            <w:vAlign w:val="center"/>
            <w:shd w:fill="EAF2F8"/>
          </w:tcPr>
          <w:p>
            <w:pPr>
              <w:jc w:val="center"/>
            </w:pPr>
            <w:r>
              <w:rPr>
                <w:sz w:val="17"/>
              </w:rPr>
              <w:t>Partial recovery</w:t>
            </w:r>
          </w:p>
        </w:tc>
        <w:tc>
          <w:tcPr>
            <w:tcW w:type="dxa" w:w="1800"/>
            <w:tcMar>
              <w:top w:w="70" w:type="dxa"/>
              <w:start w:w="120" w:type="dxa"/>
              <w:bottom w:w="70" w:type="dxa"/>
              <w:end w:w="120" w:type="dxa"/>
            </w:tcMar>
            <w:vAlign w:val="center"/>
            <w:shd w:fill="EAF2F8"/>
          </w:tcPr>
          <w:p>
            <w:pPr>
              <w:jc w:val="left"/>
            </w:pPr>
            <w:r>
              <w:rPr>
                <w:sz w:val="17"/>
              </w:rPr>
              <w:t>Failed</w:t>
            </w:r>
          </w:p>
        </w:tc>
        <w:tc>
          <w:tcPr>
            <w:tcW w:type="dxa" w:w="5544"/>
            <w:tcMar>
              <w:top w:w="70" w:type="dxa"/>
              <w:start w:w="120" w:type="dxa"/>
              <w:bottom w:w="70" w:type="dxa"/>
              <w:end w:w="120" w:type="dxa"/>
            </w:tcMar>
            <w:vAlign w:val="center"/>
            <w:shd w:fill="EAF2F8"/>
          </w:tcPr>
          <w:p>
            <w:pPr>
              <w:jc w:val="left"/>
            </w:pPr>
            <w:r>
              <w:rPr>
                <w:sz w:val="17"/>
              </w:rPr>
              <w:t>Golden-10 completed 1/3 specialists</w:t>
            </w:r>
          </w:p>
        </w:tc>
      </w:tr>
      <w:tr>
        <w:trPr>
          <w:cantSplit/>
        </w:trPr>
        <w:tc>
          <w:tcPr>
            <w:tcW w:type="dxa" w:w="2376"/>
            <w:tcMar>
              <w:top w:w="70" w:type="dxa"/>
              <w:start w:w="120" w:type="dxa"/>
              <w:bottom w:w="70" w:type="dxa"/>
              <w:end w:w="120" w:type="dxa"/>
            </w:tcMar>
            <w:vAlign w:val="center"/>
          </w:tcPr>
          <w:p>
            <w:pPr>
              <w:jc w:val="center"/>
            </w:pPr>
            <w:r>
              <w:rPr>
                <w:sz w:val="17"/>
              </w:rPr>
              <w:t>Severity agreement</w:t>
            </w:r>
          </w:p>
        </w:tc>
        <w:tc>
          <w:tcPr>
            <w:tcW w:type="dxa" w:w="1800"/>
            <w:tcMar>
              <w:top w:w="70" w:type="dxa"/>
              <w:start w:w="120" w:type="dxa"/>
              <w:bottom w:w="70" w:type="dxa"/>
              <w:end w:w="120" w:type="dxa"/>
            </w:tcMar>
            <w:vAlign w:val="center"/>
          </w:tcPr>
          <w:p>
            <w:pPr>
              <w:jc w:val="left"/>
            </w:pPr>
            <w:r>
              <w:rPr>
                <w:sz w:val="17"/>
              </w:rPr>
              <w:t>100 percent</w:t>
            </w:r>
          </w:p>
        </w:tc>
        <w:tc>
          <w:tcPr>
            <w:tcW w:type="dxa" w:w="5544"/>
            <w:tcMar>
              <w:top w:w="70" w:type="dxa"/>
              <w:start w:w="120" w:type="dxa"/>
              <w:bottom w:w="70" w:type="dxa"/>
              <w:end w:w="120" w:type="dxa"/>
            </w:tcMar>
            <w:vAlign w:val="center"/>
          </w:tcPr>
          <w:p>
            <w:pPr>
              <w:jc w:val="left"/>
            </w:pPr>
            <w:r>
              <w:rPr>
                <w:sz w:val="17"/>
              </w:rPr>
              <w:t>Based on one matched finding only</w:t>
            </w:r>
          </w:p>
        </w:tc>
      </w:tr>
      <w:tr>
        <w:trPr>
          <w:cantSplit/>
        </w:trPr>
        <w:tc>
          <w:tcPr>
            <w:tcW w:type="dxa" w:w="2376"/>
            <w:tcMar>
              <w:top w:w="70" w:type="dxa"/>
              <w:start w:w="120" w:type="dxa"/>
              <w:bottom w:w="70" w:type="dxa"/>
              <w:end w:w="120" w:type="dxa"/>
            </w:tcMar>
            <w:vAlign w:val="center"/>
            <w:shd w:fill="EAF2F8"/>
          </w:tcPr>
          <w:p>
            <w:pPr>
              <w:jc w:val="center"/>
            </w:pPr>
            <w:r>
              <w:rPr>
                <w:sz w:val="17"/>
              </w:rPr>
              <w:t>Location agreement</w:t>
            </w:r>
          </w:p>
        </w:tc>
        <w:tc>
          <w:tcPr>
            <w:tcW w:type="dxa" w:w="1800"/>
            <w:tcMar>
              <w:top w:w="70" w:type="dxa"/>
              <w:start w:w="120" w:type="dxa"/>
              <w:bottom w:w="70" w:type="dxa"/>
              <w:end w:w="120" w:type="dxa"/>
            </w:tcMar>
            <w:vAlign w:val="center"/>
            <w:shd w:fill="EAF2F8"/>
          </w:tcPr>
          <w:p>
            <w:pPr>
              <w:jc w:val="left"/>
            </w:pPr>
            <w:r>
              <w:rPr>
                <w:sz w:val="17"/>
              </w:rPr>
              <w:t>100 percent</w:t>
            </w:r>
          </w:p>
        </w:tc>
        <w:tc>
          <w:tcPr>
            <w:tcW w:type="dxa" w:w="5544"/>
            <w:tcMar>
              <w:top w:w="70" w:type="dxa"/>
              <w:start w:w="120" w:type="dxa"/>
              <w:bottom w:w="70" w:type="dxa"/>
              <w:end w:w="120" w:type="dxa"/>
            </w:tcMar>
            <w:vAlign w:val="center"/>
            <w:shd w:fill="EAF2F8"/>
          </w:tcPr>
          <w:p>
            <w:pPr>
              <w:jc w:val="left"/>
            </w:pPr>
            <w:r>
              <w:rPr>
                <w:sz w:val="17"/>
              </w:rPr>
              <w:t>Based on one matched finding only</w:t>
            </w:r>
          </w:p>
        </w:tc>
      </w:tr>
    </w:tbl>
    <w:p>
      <w:pPr>
        <w:spacing w:after="40"/>
      </w:pPr>
    </w:p>
    <w:p>
      <w:pPr>
        <w:pStyle w:val="Heading1"/>
        <w:keepNext/>
      </w:pPr>
      <w:r>
        <w:t>Development iterations</w:t>
      </w:r>
    </w:p>
    <w:p>
      <w:r>
        <w:t>A builder review identified seven decisions that affected safety and tests. The design now uses head-side coordinates, rejects deleted-only evidence, includes the marker in the body shown for approval, updates only same-author comments, retains diagnostics without a body after two failures, and validates configuration per capability.</w:t>
      </w:r>
    </w:p>
    <w:p>
      <w:r>
        <w:t>Test-first development found two implementation defects. Hunk relevance initially looked only at the reported lines and rejected a subject declared earlier in the same hunk. The validator now evaluates the complete referenced hunk. Duplicate rate initially compared the same coordinates across different pull requests; metric keys now include the case ID.</w:t>
      </w:r>
    </w:p>
    <w:p>
      <w:r>
        <w:t>The Streamlit design added a model-call approval checkbox after the initial interface plan. The control states one capability probe and the configured retry bound before any paid operation can start.</w:t>
      </w:r>
    </w:p>
    <w:p>
      <w:r>
        <w:t>A final code review prompted focused regression fixes: snapshot collection now rejects head drift, every remote mutation rechecks the SHA, capability probing is serialized, evaluation matches expected findings one-to-one, prompt fences survive truncation, and the wheel and source distribution include the page, launcher, catalog, and configuration.</w:t>
      </w:r>
    </w:p>
    <w:p>
      <w:r>
        <w:br w:type="page"/>
      </w:r>
    </w:p>
    <w:p>
      <w:pPr>
        <w:pStyle w:val="Heading1"/>
        <w:keepNext/>
      </w:pPr>
      <w:r>
        <w:t>Operation</w:t>
      </w:r>
    </w:p>
    <w:p>
      <w:pPr>
        <w:pStyle w:val="Heading2"/>
        <w:keepNext/>
      </w:pPr>
      <w:r>
        <w:t>Configuration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293"/>
        <w:gridCol w:w="3293"/>
        <w:gridCol w:w="3293"/>
      </w:tblGrid>
      <w:tr>
        <w:trPr>
          <w:tblHeader w:val="true"/>
          <w:cantSplit/>
        </w:trPr>
        <w:tc>
          <w:tcPr>
            <w:tcW w:type="dxa" w:w="3024"/>
            <w:shd w:fill="17365D"/>
            <w:tcMar>
              <w:top w:w="110" w:type="dxa"/>
              <w:start w:w="120" w:type="dxa"/>
              <w:bottom w:w="110" w:type="dxa"/>
              <w:end w:w="120" w:type="dxa"/>
            </w:tcMar>
            <w:vAlign w:val="center"/>
          </w:tcPr>
          <w:p>
            <w:pPr>
              <w:jc w:val="center"/>
            </w:pPr>
            <w:r>
              <w:rPr>
                <w:b/>
                <w:color w:val="FFFFFF"/>
                <w:sz w:val="18"/>
              </w:rPr>
              <w:t>Setting</w:t>
            </w:r>
          </w:p>
        </w:tc>
        <w:tc>
          <w:tcPr>
            <w:tcW w:type="dxa" w:w="3528"/>
            <w:shd w:fill="17365D"/>
            <w:tcMar>
              <w:top w:w="110" w:type="dxa"/>
              <w:start w:w="120" w:type="dxa"/>
              <w:bottom w:w="110" w:type="dxa"/>
              <w:end w:w="120" w:type="dxa"/>
            </w:tcMar>
            <w:vAlign w:val="center"/>
          </w:tcPr>
          <w:p>
            <w:pPr>
              <w:jc w:val="center"/>
            </w:pPr>
            <w:r>
              <w:rPr>
                <w:b/>
                <w:color w:val="FFFFFF"/>
                <w:sz w:val="18"/>
              </w:rPr>
              <w:t>Required for</w:t>
            </w:r>
          </w:p>
        </w:tc>
        <w:tc>
          <w:tcPr>
            <w:tcW w:type="dxa" w:w="3168"/>
            <w:shd w:fill="17365D"/>
            <w:tcMar>
              <w:top w:w="110" w:type="dxa"/>
              <w:start w:w="120" w:type="dxa"/>
              <w:bottom w:w="110" w:type="dxa"/>
              <w:end w:w="120" w:type="dxa"/>
            </w:tcMar>
            <w:vAlign w:val="center"/>
          </w:tcPr>
          <w:p>
            <w:pPr>
              <w:jc w:val="center"/>
            </w:pPr>
            <w:r>
              <w:rPr>
                <w:b/>
                <w:color w:val="FFFFFF"/>
                <w:sz w:val="18"/>
              </w:rPr>
              <w:t>Safe default</w:t>
            </w:r>
          </w:p>
        </w:tc>
      </w:tr>
      <w:tr>
        <w:trPr>
          <w:cantSplit/>
        </w:trPr>
        <w:tc>
          <w:tcPr>
            <w:tcW w:type="dxa" w:w="3024"/>
            <w:tcMar>
              <w:top w:w="110" w:type="dxa"/>
              <w:start w:w="120" w:type="dxa"/>
              <w:bottom w:w="110" w:type="dxa"/>
              <w:end w:w="120" w:type="dxa"/>
            </w:tcMar>
            <w:vAlign w:val="center"/>
          </w:tcPr>
          <w:p>
            <w:pPr>
              <w:jc w:val="center"/>
            </w:pPr>
            <w:r>
              <w:rPr>
                <w:sz w:val="18"/>
              </w:rPr>
              <w:t>LLM_API_KEY and LLM_BASE_URL</w:t>
            </w:r>
          </w:p>
        </w:tc>
        <w:tc>
          <w:tcPr>
            <w:tcW w:type="dxa" w:w="3528"/>
            <w:tcMar>
              <w:top w:w="110" w:type="dxa"/>
              <w:start w:w="120" w:type="dxa"/>
              <w:bottom w:w="110" w:type="dxa"/>
              <w:end w:w="120" w:type="dxa"/>
            </w:tcMar>
            <w:vAlign w:val="center"/>
          </w:tcPr>
          <w:p>
            <w:pPr>
              <w:jc w:val="left"/>
            </w:pPr>
            <w:r>
              <w:rPr>
                <w:sz w:val="18"/>
              </w:rPr>
              <w:t>Model review</w:t>
            </w:r>
          </w:p>
        </w:tc>
        <w:tc>
          <w:tcPr>
            <w:tcW w:type="dxa" w:w="3168"/>
            <w:tcMar>
              <w:top w:w="110" w:type="dxa"/>
              <w:start w:w="120" w:type="dxa"/>
              <w:bottom w:w="110" w:type="dxa"/>
              <w:end w:w="120" w:type="dxa"/>
            </w:tcMar>
            <w:vAlign w:val="center"/>
          </w:tcPr>
          <w:p>
            <w:pPr>
              <w:jc w:val="left"/>
            </w:pPr>
            <w:r>
              <w:rPr>
                <w:sz w:val="18"/>
              </w:rPr>
              <w:t>Review disabled</w:t>
            </w:r>
          </w:p>
        </w:tc>
      </w:tr>
      <w:tr>
        <w:trPr>
          <w:cantSplit/>
        </w:trPr>
        <w:tc>
          <w:tcPr>
            <w:tcW w:type="dxa" w:w="3024"/>
            <w:tcMar>
              <w:top w:w="110" w:type="dxa"/>
              <w:start w:w="120" w:type="dxa"/>
              <w:bottom w:w="110" w:type="dxa"/>
              <w:end w:w="120" w:type="dxa"/>
            </w:tcMar>
            <w:vAlign w:val="center"/>
            <w:shd w:fill="EAF2F8"/>
          </w:tcPr>
          <w:p>
            <w:pPr>
              <w:jc w:val="center"/>
            </w:pPr>
            <w:r>
              <w:rPr>
                <w:sz w:val="18"/>
              </w:rPr>
              <w:t>LLM_MODEL</w:t>
            </w:r>
          </w:p>
        </w:tc>
        <w:tc>
          <w:tcPr>
            <w:tcW w:type="dxa" w:w="3528"/>
            <w:tcMar>
              <w:top w:w="110" w:type="dxa"/>
              <w:start w:w="120" w:type="dxa"/>
              <w:bottom w:w="110" w:type="dxa"/>
              <w:end w:w="120" w:type="dxa"/>
            </w:tcMar>
            <w:vAlign w:val="center"/>
            <w:shd w:fill="EAF2F8"/>
          </w:tcPr>
          <w:p>
            <w:pPr>
              <w:jc w:val="left"/>
            </w:pPr>
            <w:r>
              <w:rPr>
                <w:sz w:val="18"/>
              </w:rPr>
              <w:t>Model selection</w:t>
            </w:r>
          </w:p>
        </w:tc>
        <w:tc>
          <w:tcPr>
            <w:tcW w:type="dxa" w:w="3168"/>
            <w:tcMar>
              <w:top w:w="110" w:type="dxa"/>
              <w:start w:w="120" w:type="dxa"/>
              <w:bottom w:w="110" w:type="dxa"/>
              <w:end w:w="120" w:type="dxa"/>
            </w:tcMar>
            <w:vAlign w:val="center"/>
            <w:shd w:fill="EAF2F8"/>
          </w:tcPr>
          <w:p>
            <w:pPr>
              <w:jc w:val="left"/>
            </w:pPr>
            <w:r>
              <w:rPr>
                <w:sz w:val="18"/>
              </w:rPr>
              <w:t>Qwen Qwen3 30B A3B Instruct 2507</w:t>
            </w:r>
          </w:p>
        </w:tc>
      </w:tr>
      <w:tr>
        <w:trPr>
          <w:cantSplit/>
        </w:trPr>
        <w:tc>
          <w:tcPr>
            <w:tcW w:type="dxa" w:w="3024"/>
            <w:tcMar>
              <w:top w:w="110" w:type="dxa"/>
              <w:start w:w="120" w:type="dxa"/>
              <w:bottom w:w="110" w:type="dxa"/>
              <w:end w:w="120" w:type="dxa"/>
            </w:tcMar>
            <w:vAlign w:val="center"/>
          </w:tcPr>
          <w:p>
            <w:pPr>
              <w:jc w:val="center"/>
            </w:pPr>
            <w:r>
              <w:rPr>
                <w:sz w:val="18"/>
              </w:rPr>
              <w:t>GITHUB_READ_TOKEN</w:t>
            </w:r>
          </w:p>
        </w:tc>
        <w:tc>
          <w:tcPr>
            <w:tcW w:type="dxa" w:w="3528"/>
            <w:tcMar>
              <w:top w:w="110" w:type="dxa"/>
              <w:start w:w="120" w:type="dxa"/>
              <w:bottom w:w="110" w:type="dxa"/>
              <w:end w:w="120" w:type="dxa"/>
            </w:tcMar>
            <w:vAlign w:val="center"/>
          </w:tcPr>
          <w:p>
            <w:pPr>
              <w:jc w:val="left"/>
            </w:pPr>
            <w:r>
              <w:rPr>
                <w:sz w:val="18"/>
              </w:rPr>
              <w:t>Higher GitHub read limits</w:t>
            </w:r>
          </w:p>
        </w:tc>
        <w:tc>
          <w:tcPr>
            <w:tcW w:type="dxa" w:w="3168"/>
            <w:tcMar>
              <w:top w:w="110" w:type="dxa"/>
              <w:start w:w="120" w:type="dxa"/>
              <w:bottom w:w="110" w:type="dxa"/>
              <w:end w:w="120" w:type="dxa"/>
            </w:tcMar>
            <w:vAlign w:val="center"/>
          </w:tcPr>
          <w:p>
            <w:pPr>
              <w:jc w:val="left"/>
            </w:pPr>
            <w:r>
              <w:rPr>
                <w:sz w:val="18"/>
              </w:rPr>
              <w:t>Anonymous public reads</w:t>
            </w:r>
          </w:p>
        </w:tc>
      </w:tr>
      <w:tr>
        <w:trPr>
          <w:cantSplit/>
        </w:trPr>
        <w:tc>
          <w:tcPr>
            <w:tcW w:type="dxa" w:w="3024"/>
            <w:tcMar>
              <w:top w:w="110" w:type="dxa"/>
              <w:start w:w="120" w:type="dxa"/>
              <w:bottom w:w="110" w:type="dxa"/>
              <w:end w:w="120" w:type="dxa"/>
            </w:tcMar>
            <w:vAlign w:val="center"/>
            <w:shd w:fill="EAF2F8"/>
          </w:tcPr>
          <w:p>
            <w:pPr>
              <w:jc w:val="center"/>
            </w:pPr>
            <w:r>
              <w:rPr>
                <w:sz w:val="18"/>
              </w:rPr>
              <w:t>ENABLE_GITHUB_PUBLISH</w:t>
            </w:r>
          </w:p>
        </w:tc>
        <w:tc>
          <w:tcPr>
            <w:tcW w:type="dxa" w:w="3528"/>
            <w:tcMar>
              <w:top w:w="110" w:type="dxa"/>
              <w:start w:w="120" w:type="dxa"/>
              <w:bottom w:w="110" w:type="dxa"/>
              <w:end w:w="120" w:type="dxa"/>
            </w:tcMar>
            <w:vAlign w:val="center"/>
            <w:shd w:fill="EAF2F8"/>
          </w:tcPr>
          <w:p>
            <w:pPr>
              <w:jc w:val="left"/>
            </w:pPr>
            <w:r>
              <w:rPr>
                <w:sz w:val="18"/>
              </w:rPr>
              <w:t>Any GitHub write</w:t>
            </w:r>
          </w:p>
        </w:tc>
        <w:tc>
          <w:tcPr>
            <w:tcW w:type="dxa" w:w="3168"/>
            <w:tcMar>
              <w:top w:w="110" w:type="dxa"/>
              <w:start w:w="120" w:type="dxa"/>
              <w:bottom w:w="110" w:type="dxa"/>
              <w:end w:w="120" w:type="dxa"/>
            </w:tcMar>
            <w:vAlign w:val="center"/>
            <w:shd w:fill="EAF2F8"/>
          </w:tcPr>
          <w:p>
            <w:pPr>
              <w:jc w:val="left"/>
            </w:pPr>
            <w:r>
              <w:rPr>
                <w:sz w:val="18"/>
              </w:rPr>
              <w:t>false</w:t>
            </w:r>
          </w:p>
        </w:tc>
      </w:tr>
      <w:tr>
        <w:trPr>
          <w:cantSplit/>
        </w:trPr>
        <w:tc>
          <w:tcPr>
            <w:tcW w:type="dxa" w:w="3024"/>
            <w:tcMar>
              <w:top w:w="110" w:type="dxa"/>
              <w:start w:w="120" w:type="dxa"/>
              <w:bottom w:w="110" w:type="dxa"/>
              <w:end w:w="120" w:type="dxa"/>
            </w:tcMar>
            <w:vAlign w:val="center"/>
          </w:tcPr>
          <w:p>
            <w:pPr>
              <w:jc w:val="center"/>
            </w:pPr>
            <w:r>
              <w:rPr>
                <w:sz w:val="18"/>
              </w:rPr>
              <w:t>GITHUB_WRITE_TOKEN</w:t>
            </w:r>
          </w:p>
        </w:tc>
        <w:tc>
          <w:tcPr>
            <w:tcW w:type="dxa" w:w="3528"/>
            <w:tcMar>
              <w:top w:w="110" w:type="dxa"/>
              <w:start w:w="120" w:type="dxa"/>
              <w:bottom w:w="110" w:type="dxa"/>
              <w:end w:w="120" w:type="dxa"/>
            </w:tcMar>
            <w:vAlign w:val="center"/>
          </w:tcPr>
          <w:p>
            <w:pPr>
              <w:jc w:val="left"/>
            </w:pPr>
            <w:r>
              <w:rPr>
                <w:sz w:val="18"/>
              </w:rPr>
              <w:t>Comment create or update</w:t>
            </w:r>
          </w:p>
        </w:tc>
        <w:tc>
          <w:tcPr>
            <w:tcW w:type="dxa" w:w="3168"/>
            <w:tcMar>
              <w:top w:w="110" w:type="dxa"/>
              <w:start w:w="120" w:type="dxa"/>
              <w:bottom w:w="110" w:type="dxa"/>
              <w:end w:w="120" w:type="dxa"/>
            </w:tcMar>
            <w:vAlign w:val="center"/>
          </w:tcPr>
          <w:p>
            <w:pPr>
              <w:jc w:val="left"/>
            </w:pPr>
            <w:r>
              <w:rPr>
                <w:sz w:val="18"/>
              </w:rPr>
              <w:t>Absent</w:t>
            </w:r>
          </w:p>
        </w:tc>
      </w:tr>
    </w:tbl>
    <w:p>
      <w:pPr>
        <w:spacing w:after="40"/>
      </w:pPr>
    </w:p>
    <w:p>
      <w:pPr>
        <w:pStyle w:val="Heading2"/>
        <w:keepNext/>
      </w:pPr>
      <w:r>
        <w:t>Run commands</w:t>
      </w:r>
    </w:p>
    <w:p>
      <w:r>
        <w:rPr>
          <w:rFonts w:ascii="Aptos Mono" w:hAnsi="Aptos Mono"/>
          <w:sz w:val="19"/>
        </w:rPr>
        <w:t>uv venv --python 3.12</w:t>
      </w:r>
    </w:p>
    <w:p>
      <w:r>
        <w:rPr>
          <w:rFonts w:ascii="Aptos Mono" w:hAnsi="Aptos Mono"/>
          <w:sz w:val="19"/>
        </w:rPr>
        <w:t>uv pip install --python .venv/bin/python -e '.[dev]'</w:t>
      </w:r>
    </w:p>
    <w:p>
      <w:r>
        <w:rPr>
          <w:rFonts w:ascii="Aptos Mono" w:hAnsi="Aptos Mono"/>
          <w:sz w:val="19"/>
        </w:rPr>
        <w:t>cp .env.example .env</w:t>
      </w:r>
    </w:p>
    <w:p>
      <w:r>
        <w:rPr>
          <w:rFonts w:ascii="Aptos Mono" w:hAnsi="Aptos Mono"/>
          <w:sz w:val="19"/>
        </w:rPr>
        <w:t>.venv/bin/streamlit run streamlit_app.py</w:t>
      </w:r>
    </w:p>
    <w:p>
      <w:r>
        <w:rPr>
          <w:rFonts w:ascii="Aptos Mono" w:hAnsi="Aptos Mono"/>
          <w:sz w:val="19"/>
        </w:rPr>
        <w:t>.venv/bin/python scripts/run_evaluation.py --mode validate</w:t>
      </w:r>
    </w:p>
    <w:p>
      <w:r>
        <w:rPr>
          <w:rFonts w:ascii="Aptos Mono" w:hAnsi="Aptos Mono"/>
          <w:sz w:val="19"/>
        </w:rPr>
        <w:t>.venv/bin/python scripts/run_evaluation.py --mode sequence --approve-model-calls</w:t>
      </w:r>
    </w:p>
    <w:p>
      <w:r>
        <w:br w:type="page"/>
      </w:r>
    </w:p>
    <w:p>
      <w:pPr>
        <w:pStyle w:val="Heading1"/>
        <w:keepNext/>
      </w:pPr>
      <w:r>
        <w:t>Results and limitations</w:t>
      </w:r>
    </w:p>
    <w:p>
      <w:r>
        <w:t>Offline evidence supports the implemented control flow and safety boundaries. The live evaluation separately shows that the configured model did not meet the golden gates. The official sequence failed on a clean false positive. Diagnostic runs covered the remaining cases once, producing 10 percent recall, 14.29 percent precision, 93.33 percent specialist completion, failed clean behavior, and failed recovery. Severity and location agreement are 100 percent for one matched finding only.</w:t>
      </w:r>
    </w:p>
    <w:p>
      <w:pPr>
        <w:spacing w:after="60"/>
        <w:ind w:left="403" w:hanging="288"/>
      </w:pPr>
      <w:r>
        <w:t xml:space="preserve">•  </w:t>
      </w:r>
      <w:r>
        <w:t>Bounded context can omit repository-wide behavior needed to confirm a finding.</w:t>
      </w:r>
    </w:p>
    <w:p>
      <w:pPr>
        <w:spacing w:after="60"/>
        <w:ind w:left="403" w:hanging="288"/>
      </w:pPr>
      <w:r>
        <w:t xml:space="preserve">•  </w:t>
      </w:r>
      <w:r>
        <w:t>Credential patterns cannot recognize every secret format.</w:t>
      </w:r>
    </w:p>
    <w:p>
      <w:pPr>
        <w:spacing w:after="60"/>
        <w:ind w:left="403" w:hanging="288"/>
      </w:pPr>
      <w:r>
        <w:t xml:space="preserve">•  </w:t>
      </w:r>
      <w:r>
        <w:t>Conservative gates can suppress a valid insight when patch evidence is incomplete.</w:t>
      </w:r>
    </w:p>
    <w:p>
      <w:pPr>
        <w:spacing w:after="60"/>
        <w:ind w:left="403" w:hanging="288"/>
      </w:pPr>
      <w:r>
        <w:t xml:space="preserve">•  </w:t>
      </w:r>
      <w:r>
        <w:t>Ten synthetic evaluation cases cannot support a production-accuracy claim.</w:t>
      </w:r>
    </w:p>
    <w:p>
      <w:pPr>
        <w:spacing w:after="60"/>
        <w:ind w:left="403" w:hanging="288"/>
      </w:pPr>
      <w:r>
        <w:t xml:space="preserve">•  </w:t>
      </w:r>
      <w:r>
        <w:t>Source-free artifacts do not show whether every miss began in generation, structured output, or deterministic rejection.</w:t>
      </w:r>
    </w:p>
    <w:p>
      <w:pPr>
        <w:spacing w:after="60"/>
        <w:ind w:left="403" w:hanging="288"/>
      </w:pPr>
      <w:r>
        <w:t xml:space="preserve">•  </w:t>
      </w:r>
      <w:r>
        <w:t>Operators must use narrowly scoped GitHub tokens and a controlled target PR.</w:t>
      </w:r>
    </w:p>
    <w:p>
      <w:pPr>
        <w:pStyle w:val="Heading1"/>
        <w:keepNext/>
      </w:pPr>
      <w:r>
        <w:t>Week 4 evaluation handoff</w:t>
      </w:r>
    </w:p>
    <w:p>
      <w:r>
        <w:t>Week 4 should preserve this run as the baseline rather than tune against it informally. The next evaluation iteration should audit expected labels and acceptable secondary findings, add source-free counts for generated and rejected findings and retry failures, and expand the dataset with balanced clean and seeded cases.</w:t>
      </w:r>
    </w:p>
    <w:p>
      <w:r>
        <w:t>Prompt and model experiments should use a development split. A held-out split should measure final accuracy, and predetermined repeated runs should report variation without rerunning individual cases for a better score.</w:t>
      </w:r>
    </w:p>
    <w:p>
      <w:pPr>
        <w:pStyle w:val="Heading1"/>
        <w:keepNext/>
      </w:pPr>
      <w:r>
        <w:t>Demonstration plan</w:t>
      </w:r>
    </w:p>
    <w:p>
      <w:r>
        <w:t>The demonstration previews a public pull request, shows the exact SHA and model-call approval boundary, and uses an already captured result when available to explain specialist status, deterministic validation, exact-body approval, and approval reset. It then shows the saved clean, seeded, and recovery artifacts, explains the failed official gate and diagnostic baseline, and closes with the Week 4 handoff. Golden cases are not rerun solely for recording, and GitHub publication remains disabled.</w:t>
      </w:r>
    </w:p>
    <w:sectPr w:rsidR="00FC693F" w:rsidRPr="0006063C" w:rsidSect="00034616">
      <w:footerReference w:type="default" r:id="rId9"/>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 xml:space="preserve">Code Review Agent  |  </w:t>
    </w:r>
    <w:r>
      <w:rPr>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