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7DC2" w14:textId="3424D521" w:rsidR="00F53156" w:rsidRPr="002B0F7F" w:rsidRDefault="00000000" w:rsidP="002B0F7F">
      <w:pPr>
        <w:jc w:val="center"/>
        <w:rPr>
          <w:b/>
          <w:bCs/>
          <w:sz w:val="24"/>
          <w:szCs w:val="24"/>
        </w:rPr>
      </w:pPr>
      <w:r w:rsidRPr="002B0F7F">
        <w:rPr>
          <w:b/>
          <w:bCs/>
          <w:sz w:val="24"/>
          <w:szCs w:val="24"/>
        </w:rPr>
        <w:t>A Progressive Semantic State Framework for Language Understanding</w:t>
      </w:r>
    </w:p>
    <w:p w14:paraId="29F842BB" w14:textId="77777777" w:rsidR="002B0F7F" w:rsidRPr="002B0F7F" w:rsidRDefault="002B0F7F" w:rsidP="002B0F7F">
      <w:pPr>
        <w:spacing w:after="0" w:line="240" w:lineRule="auto"/>
        <w:jc w:val="center"/>
        <w:rPr>
          <w:rFonts w:ascii="Calibri" w:eastAsia="Times New Roman" w:hAnsi="Calibri" w:cs="Calibri"/>
        </w:rPr>
      </w:pPr>
      <w:r w:rsidRPr="002B0F7F">
        <w:rPr>
          <w:rFonts w:ascii="Calibri" w:eastAsia="Times New Roman" w:hAnsi="Calibri" w:cs="Calibri"/>
        </w:rPr>
        <w:t xml:space="preserve">From </w:t>
      </w:r>
      <w:r w:rsidRPr="002B0F7F">
        <w:rPr>
          <w:rFonts w:ascii="Calibri" w:eastAsia="Times New Roman" w:hAnsi="Calibri" w:cs="Calibri"/>
        </w:rPr>
        <w:t xml:space="preserve">Contextual Spectrum Tokenization </w:t>
      </w:r>
      <w:r w:rsidRPr="00AB214D">
        <w:rPr>
          <w:rFonts w:ascii="Calibri" w:eastAsia="Times New Roman" w:hAnsi="Calibri" w:cs="Calibri"/>
          <w:b/>
          <w:bCs/>
        </w:rPr>
        <w:t>(CST)</w:t>
      </w:r>
      <w:r w:rsidRPr="002B0F7F">
        <w:rPr>
          <w:rFonts w:ascii="Calibri" w:eastAsia="Times New Roman" w:hAnsi="Calibri" w:cs="Calibri"/>
        </w:rPr>
        <w:t xml:space="preserve"> </w:t>
      </w:r>
    </w:p>
    <w:p w14:paraId="41EF3C77" w14:textId="11EF7215" w:rsidR="002B0F7F" w:rsidRPr="002B0F7F" w:rsidRDefault="002B0F7F" w:rsidP="002B0F7F">
      <w:pPr>
        <w:spacing w:after="0" w:line="240" w:lineRule="auto"/>
        <w:jc w:val="center"/>
        <w:rPr>
          <w:rFonts w:ascii="Calibri" w:eastAsia="Times New Roman" w:hAnsi="Calibri" w:cs="Calibri"/>
        </w:rPr>
      </w:pPr>
      <w:r w:rsidRPr="002B0F7F">
        <w:rPr>
          <w:rFonts w:ascii="Calibri" w:eastAsia="Times New Roman" w:hAnsi="Calibri" w:cs="Calibri"/>
        </w:rPr>
        <w:t xml:space="preserve">to Quantum Contextual Spectrum Tokenization </w:t>
      </w:r>
      <w:r w:rsidRPr="00AB214D">
        <w:rPr>
          <w:rFonts w:ascii="Calibri" w:eastAsia="Times New Roman" w:hAnsi="Calibri" w:cs="Calibri"/>
          <w:b/>
          <w:bCs/>
        </w:rPr>
        <w:t>(QCST)</w:t>
      </w:r>
    </w:p>
    <w:p w14:paraId="2ED3C497" w14:textId="319F28DC" w:rsidR="002B0F7F" w:rsidRPr="00B47286" w:rsidRDefault="002B0F7F" w:rsidP="002B0F7F">
      <w:pPr>
        <w:spacing w:after="0" w:line="240" w:lineRule="auto"/>
        <w:jc w:val="center"/>
        <w:rPr>
          <w:rFonts w:ascii="Calibri" w:eastAsia="Times New Roman" w:hAnsi="Calibri" w:cs="Calibri"/>
          <w:sz w:val="24"/>
          <w:szCs w:val="24"/>
        </w:rPr>
      </w:pPr>
      <w:r w:rsidRPr="00B47286">
        <w:rPr>
          <w:rFonts w:ascii="Calibri" w:eastAsia="Times New Roman" w:hAnsi="Calibri" w:cs="Calibri"/>
          <w:sz w:val="24"/>
          <w:szCs w:val="24"/>
        </w:rPr>
        <w:t>A Unified Context-Driven Token Representation Framework</w:t>
      </w:r>
    </w:p>
    <w:p w14:paraId="0D29B3A5" w14:textId="77777777" w:rsidR="002B0F7F" w:rsidRPr="00983E1C" w:rsidRDefault="002B0F7F" w:rsidP="002B0F7F">
      <w:pPr>
        <w:spacing w:after="0" w:line="240" w:lineRule="auto"/>
        <w:jc w:val="center"/>
        <w:rPr>
          <w:rFonts w:ascii="Calibri" w:eastAsia="Times New Roman" w:hAnsi="Calibri" w:cs="Calibri"/>
          <w:b/>
          <w:bCs/>
        </w:rPr>
      </w:pPr>
    </w:p>
    <w:p w14:paraId="13DD6BCE" w14:textId="77777777" w:rsidR="002B0F7F" w:rsidRPr="00983E1C" w:rsidRDefault="002B0F7F" w:rsidP="002B0F7F">
      <w:pPr>
        <w:spacing w:after="0" w:line="240" w:lineRule="auto"/>
        <w:rPr>
          <w:rFonts w:ascii="Calibri" w:eastAsia="Times New Roman" w:hAnsi="Calibri" w:cs="Calibri"/>
        </w:rPr>
      </w:pPr>
      <w:r w:rsidRPr="00983E1C">
        <w:rPr>
          <w:rFonts w:ascii="Calibri" w:eastAsia="Times New Roman" w:hAnsi="Calibri" w:cs="Calibri"/>
          <w:b/>
          <w:bCs/>
        </w:rPr>
        <w:t>Author:</w:t>
      </w:r>
      <w:r w:rsidRPr="00983E1C">
        <w:rPr>
          <w:rFonts w:ascii="Calibri" w:eastAsia="Times New Roman" w:hAnsi="Calibri" w:cs="Calibri"/>
        </w:rPr>
        <w:t xml:space="preserve"> Mohamed </w:t>
      </w:r>
      <w:proofErr w:type="spellStart"/>
      <w:r w:rsidRPr="00983E1C">
        <w:rPr>
          <w:rFonts w:ascii="Calibri" w:eastAsia="Times New Roman" w:hAnsi="Calibri" w:cs="Calibri"/>
        </w:rPr>
        <w:t>Mohamed</w:t>
      </w:r>
      <w:proofErr w:type="spellEnd"/>
      <w:r w:rsidRPr="00983E1C">
        <w:rPr>
          <w:rFonts w:ascii="Calibri" w:eastAsia="Times New Roman" w:hAnsi="Calibri" w:cs="Calibri"/>
        </w:rPr>
        <w:t xml:space="preserve"> </w:t>
      </w:r>
      <w:proofErr w:type="spellStart"/>
      <w:r w:rsidRPr="00983E1C">
        <w:rPr>
          <w:rFonts w:ascii="Calibri" w:eastAsia="Times New Roman" w:hAnsi="Calibri" w:cs="Calibri"/>
        </w:rPr>
        <w:t>Mohamed</w:t>
      </w:r>
      <w:proofErr w:type="spellEnd"/>
      <w:r w:rsidRPr="00983E1C">
        <w:rPr>
          <w:rFonts w:ascii="Calibri" w:eastAsia="Times New Roman" w:hAnsi="Calibri" w:cs="Calibri"/>
        </w:rPr>
        <w:t xml:space="preserve"> Elhelbawi</w:t>
      </w:r>
      <w:r w:rsidRPr="00983E1C">
        <w:rPr>
          <w:rFonts w:ascii="Calibri" w:eastAsia="Times New Roman" w:hAnsi="Calibri" w:cs="Calibri"/>
        </w:rPr>
        <w:br/>
      </w:r>
      <w:r w:rsidRPr="00983E1C">
        <w:rPr>
          <w:rFonts w:ascii="Calibri" w:eastAsia="Times New Roman" w:hAnsi="Calibri" w:cs="Calibri"/>
          <w:b/>
          <w:bCs/>
        </w:rPr>
        <w:t>Affiliation:</w:t>
      </w:r>
      <w:r w:rsidRPr="00983E1C">
        <w:rPr>
          <w:rFonts w:ascii="Calibri" w:eastAsia="Times New Roman" w:hAnsi="Calibri" w:cs="Calibri"/>
        </w:rPr>
        <w:t xml:space="preserve"> Technology Consultant, Synechron</w:t>
      </w:r>
    </w:p>
    <w:p w14:paraId="307D6D6B" w14:textId="77777777" w:rsidR="002B0F7F" w:rsidRPr="00983E1C" w:rsidRDefault="002B0F7F" w:rsidP="002B0F7F">
      <w:pPr>
        <w:spacing w:after="0" w:line="240" w:lineRule="auto"/>
        <w:rPr>
          <w:rFonts w:ascii="Calibri" w:eastAsia="Times New Roman" w:hAnsi="Calibri" w:cs="Calibri"/>
        </w:rPr>
      </w:pPr>
      <w:r w:rsidRPr="00983E1C">
        <w:rPr>
          <w:rFonts w:ascii="Calibri" w:eastAsia="Times New Roman" w:hAnsi="Calibri" w:cs="Calibri"/>
          <w:b/>
          <w:bCs/>
        </w:rPr>
        <w:t>ORCID ID:</w:t>
      </w:r>
      <w:r w:rsidRPr="00983E1C">
        <w:rPr>
          <w:rFonts w:ascii="Calibri" w:eastAsia="Times New Roman" w:hAnsi="Calibri" w:cs="Calibri"/>
        </w:rPr>
        <w:t xml:space="preserve"> 0009-0003-9961-4618</w:t>
      </w:r>
      <w:r w:rsidRPr="00983E1C">
        <w:rPr>
          <w:rFonts w:ascii="Calibri" w:eastAsia="Times New Roman" w:hAnsi="Calibri" w:cs="Calibri"/>
        </w:rPr>
        <w:br/>
      </w:r>
      <w:r w:rsidRPr="00983E1C">
        <w:rPr>
          <w:rFonts w:ascii="Calibri" w:eastAsia="Times New Roman" w:hAnsi="Calibri" w:cs="Calibri"/>
          <w:b/>
          <w:bCs/>
        </w:rPr>
        <w:t>Contact Information:</w:t>
      </w:r>
    </w:p>
    <w:p w14:paraId="56DB6275" w14:textId="77777777" w:rsidR="002B0F7F" w:rsidRPr="00983E1C" w:rsidRDefault="002B0F7F" w:rsidP="002B0F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983E1C">
        <w:rPr>
          <w:rFonts w:ascii="Calibri" w:eastAsia="Times New Roman" w:hAnsi="Calibri" w:cs="Calibri"/>
          <w:b/>
          <w:bCs/>
        </w:rPr>
        <w:t>Email:</w:t>
      </w:r>
      <w:r w:rsidRPr="00983E1C">
        <w:rPr>
          <w:rFonts w:ascii="Calibri" w:eastAsia="Times New Roman" w:hAnsi="Calibri" w:cs="Calibri"/>
        </w:rPr>
        <w:t xml:space="preserve"> </w:t>
      </w:r>
      <w:hyperlink r:id="rId6" w:tgtFrame="_blank" w:history="1">
        <w:r w:rsidRPr="00983E1C">
          <w:rPr>
            <w:rFonts w:ascii="Calibri" w:eastAsia="Times New Roman" w:hAnsi="Calibri" w:cs="Calibri"/>
            <w:color w:val="0000FF"/>
            <w:u w:val="single"/>
          </w:rPr>
          <w:t>dr.m.elhelbawi@gmail.com</w:t>
        </w:r>
      </w:hyperlink>
    </w:p>
    <w:p w14:paraId="395D125F" w14:textId="77777777" w:rsidR="002B0F7F" w:rsidRPr="00983E1C" w:rsidRDefault="002B0F7F" w:rsidP="002B0F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983E1C">
        <w:rPr>
          <w:rFonts w:ascii="Calibri" w:eastAsia="Times New Roman" w:hAnsi="Calibri" w:cs="Calibri"/>
          <w:b/>
          <w:bCs/>
        </w:rPr>
        <w:t>Phone (Saudi Arabia):</w:t>
      </w:r>
      <w:r w:rsidRPr="00983E1C">
        <w:rPr>
          <w:rFonts w:ascii="Calibri" w:eastAsia="Times New Roman" w:hAnsi="Calibri" w:cs="Calibri"/>
        </w:rPr>
        <w:t xml:space="preserve"> +966595213497</w:t>
      </w:r>
    </w:p>
    <w:p w14:paraId="4296A79E" w14:textId="77777777" w:rsidR="002B0F7F" w:rsidRPr="00983E1C" w:rsidRDefault="002B0F7F" w:rsidP="002B0F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Calibri" w:eastAsia="Times New Roman" w:hAnsi="Calibri" w:cs="Calibri"/>
        </w:rPr>
      </w:pPr>
      <w:r w:rsidRPr="00983E1C">
        <w:rPr>
          <w:rFonts w:ascii="Calibri" w:eastAsia="Times New Roman" w:hAnsi="Calibri" w:cs="Calibri"/>
          <w:b/>
          <w:bCs/>
        </w:rPr>
        <w:t>Nationality:</w:t>
      </w:r>
      <w:r w:rsidRPr="00983E1C">
        <w:rPr>
          <w:rFonts w:ascii="Calibri" w:eastAsia="Times New Roman" w:hAnsi="Calibri" w:cs="Calibri"/>
        </w:rPr>
        <w:t xml:space="preserve"> Egyptian (Resident not in Saudi Arabia)</w:t>
      </w:r>
    </w:p>
    <w:p w14:paraId="4F852891" w14:textId="77777777" w:rsidR="002B0F7F" w:rsidRPr="002B0F7F" w:rsidRDefault="002B0F7F" w:rsidP="002B0F7F"/>
    <w:p w14:paraId="65D87010" w14:textId="77777777" w:rsidR="00F53156" w:rsidRDefault="00000000">
      <w:pPr>
        <w:pStyle w:val="Heading2"/>
      </w:pPr>
      <w:r>
        <w:t>Abstract</w:t>
      </w:r>
    </w:p>
    <w:p w14:paraId="3B5007EE" w14:textId="77777777" w:rsidR="00F53156" w:rsidRDefault="00000000">
      <w:r>
        <w:br/>
        <w:t>This paper presents a unified and progressive formulation of Contextual Spectrum Tokenization (CST) and its</w:t>
      </w:r>
      <w:r>
        <w:br/>
        <w:t>quantum-inspired extension, Quantum Contextual Spectrum Tokenization (QCST). The work argues that classical</w:t>
      </w:r>
      <w:r>
        <w:br/>
        <w:t>tokenization enforces premature semantic collapse, resulting in irreversible information loss before contextual</w:t>
      </w:r>
      <w:r>
        <w:br/>
        <w:t>evidence becomes available. CST reformulates tokenization as a context-conditioned semantic spectrum, while</w:t>
      </w:r>
      <w:r>
        <w:br/>
        <w:t>QCST further generalizes this spectrum into a quantum-inspired semantic state governed by contextual operators</w:t>
      </w:r>
      <w:r>
        <w:br/>
        <w:t>and measurement principles. Importantly, the proposed framework is fully executable on classical hardware,</w:t>
      </w:r>
      <w:r>
        <w:br/>
        <w:t>with the quantum formalism serving as a mathematical and conceptual generalization rather than a hardware</w:t>
      </w:r>
      <w:r>
        <w:br/>
        <w:t>requirement.</w:t>
      </w:r>
      <w:r>
        <w:br/>
      </w:r>
    </w:p>
    <w:p w14:paraId="084D0171" w14:textId="77777777" w:rsidR="00F53156" w:rsidRDefault="00000000">
      <w:pPr>
        <w:pStyle w:val="Heading2"/>
      </w:pPr>
      <w:r>
        <w:t>1. Introduction</w:t>
      </w:r>
    </w:p>
    <w:p w14:paraId="0D3D0693" w14:textId="77777777" w:rsidR="00F53156" w:rsidRDefault="00000000">
      <w:r>
        <w:br/>
        <w:t>Tokenization is traditionally treated as a static preprocessing step that converts raw text into discrete</w:t>
      </w:r>
      <w:r>
        <w:br/>
        <w:t>symbols prior to semantic reasoning. Despite major advances in neural architectures, attention mechanisms,</w:t>
      </w:r>
      <w:r>
        <w:br/>
        <w:t>and representation learning, tokenization has remained conceptually unchanged. This paper challenges the</w:t>
      </w:r>
      <w:r>
        <w:br/>
        <w:t>assumption that semantic identity must be fixed before context is observed.</w:t>
      </w:r>
      <w:r>
        <w:br/>
      </w:r>
      <w:r>
        <w:br/>
      </w:r>
      <w:r>
        <w:lastRenderedPageBreak/>
        <w:t>We argue that meaning is not an intrinsic property of tokens, but an emergent property of interaction between</w:t>
      </w:r>
      <w:r>
        <w:br/>
        <w:t>tokens and context. This insight motivates a shift from static token identifiers to dynamic semantic states.</w:t>
      </w:r>
      <w:r>
        <w:br/>
      </w:r>
    </w:p>
    <w:p w14:paraId="7931E38E" w14:textId="77777777" w:rsidR="00F53156" w:rsidRDefault="00000000">
      <w:pPr>
        <w:pStyle w:val="Heading2"/>
      </w:pPr>
      <w:r>
        <w:t>2. Limitations of Classical Tokenization</w:t>
      </w:r>
    </w:p>
    <w:p w14:paraId="09F3BA99" w14:textId="77777777" w:rsidR="00F53156" w:rsidRDefault="00000000">
      <w:r>
        <w:br/>
        <w:t>Classical tokenization applies a deterministic mapping:</w:t>
      </w:r>
      <w:r>
        <w:br/>
      </w:r>
      <w:r>
        <w:br/>
        <w:t xml:space="preserve">    text → token IDs → embeddings → meaning</w:t>
      </w:r>
      <w:r>
        <w:br/>
      </w:r>
      <w:r>
        <w:br/>
        <w:t>This ordering enforces early semantic commitment. Ambiguous tokens such as “bank”, “charge”, or “interest”</w:t>
      </w:r>
      <w:r>
        <w:br/>
        <w:t>are assigned fixed identifiers without access to future contextual evidence. Any alternative interpretations</w:t>
      </w:r>
      <w:r>
        <w:br/>
        <w:t>are implicitly discarded.</w:t>
      </w:r>
      <w:r>
        <w:br/>
      </w:r>
      <w:r>
        <w:br/>
        <w:t>Formally, tokenization applies a many-to-one mapping f(t) = id, where id is context-independent. This mapping</w:t>
      </w:r>
      <w:r>
        <w:br/>
        <w:t>is irreversible and violates basic principles of inference under uncertainty.</w:t>
      </w:r>
      <w:r>
        <w:br/>
      </w:r>
    </w:p>
    <w:p w14:paraId="664A245F" w14:textId="77777777" w:rsidR="00F53156" w:rsidRDefault="00000000">
      <w:pPr>
        <w:pStyle w:val="Heading2"/>
      </w:pPr>
      <w:r>
        <w:t>3. Contextual Spectrum Tokenization (CST)</w:t>
      </w:r>
    </w:p>
    <w:p w14:paraId="45623178" w14:textId="77777777" w:rsidR="00F53156" w:rsidRDefault="00000000">
      <w:r>
        <w:br/>
        <w:t>CST introduces a fundamental change: tokens are represented as semantic spectra rather than fixed symbols.</w:t>
      </w:r>
      <w:r>
        <w:br/>
      </w:r>
      <w:r>
        <w:br/>
        <w:t>Definition:</w:t>
      </w:r>
      <w:r>
        <w:br/>
        <w:t>A token t is represented as a spectrum:</w:t>
      </w:r>
      <w:r>
        <w:br/>
        <w:t xml:space="preserve">    S(t) = { (m_i, w_i) } for i = 1..k</w:t>
      </w:r>
      <w:r>
        <w:br/>
      </w:r>
      <w:r>
        <w:br/>
        <w:t>where:</w:t>
      </w:r>
      <w:r>
        <w:br/>
        <w:t>- m_i denotes a potential semantic interpretation</w:t>
      </w:r>
      <w:r>
        <w:br/>
        <w:t>- w_i denotes the contextual weight of that interpretation</w:t>
      </w:r>
      <w:r>
        <w:br/>
        <w:t>- Σ w_i = 1</w:t>
      </w:r>
      <w:r>
        <w:br/>
      </w:r>
      <w:r>
        <w:br/>
        <w:t>This representation preserves ambiguity explicitly and allows meaning to evolve as context accumulates.</w:t>
      </w:r>
      <w:r>
        <w:br/>
      </w:r>
    </w:p>
    <w:p w14:paraId="6310A414" w14:textId="77777777" w:rsidR="00F53156" w:rsidRDefault="00000000">
      <w:pPr>
        <w:pStyle w:val="Heading2"/>
      </w:pPr>
      <w:r>
        <w:t>3.1 Contextual Fusion in CST</w:t>
      </w:r>
    </w:p>
    <w:p w14:paraId="10738B27" w14:textId="77777777" w:rsidR="00F53156" w:rsidRDefault="00000000">
      <w:r>
        <w:br/>
        <w:t>Context in CST is modeled as a transformation operator acting on the semantic spectrum.</w:t>
      </w:r>
      <w:r>
        <w:br/>
      </w:r>
      <w:r>
        <w:lastRenderedPageBreak/>
        <w:br/>
        <w:t>Let C denote a contextual signal (sentence, document, metadata, modality). Then:</w:t>
      </w:r>
      <w:r>
        <w:br/>
        <w:t xml:space="preserve">    S_{t+1} = F_C(S_t)</w:t>
      </w:r>
      <w:r>
        <w:br/>
      </w:r>
      <w:r>
        <w:br/>
        <w:t>The fusion operator F_C redistributes semantic weights rather than selecting a single meaning. This allows</w:t>
      </w:r>
      <w:r>
        <w:br/>
        <w:t>progressive refinement instead of early collapse.</w:t>
      </w:r>
      <w:r>
        <w:br/>
      </w:r>
    </w:p>
    <w:p w14:paraId="3BAE229F" w14:textId="77777777" w:rsidR="00F53156" w:rsidRDefault="00000000">
      <w:pPr>
        <w:pStyle w:val="Heading2"/>
      </w:pPr>
      <w:r>
        <w:t>4. Motivation for Quantum Generalization</w:t>
      </w:r>
    </w:p>
    <w:p w14:paraId="2273043B" w14:textId="77777777" w:rsidR="00F53156" w:rsidRDefault="00000000">
      <w:r>
        <w:br/>
        <w:t>While CST models ambiguity probabilistically, it treats semantic components as independent. However,</w:t>
      </w:r>
      <w:r>
        <w:br/>
        <w:t>linguistic phenomena such as metaphor, sarcasm, and irony demonstrate non-linear interactions between</w:t>
      </w:r>
      <w:r>
        <w:br/>
        <w:t>meanings.</w:t>
      </w:r>
      <w:r>
        <w:br/>
      </w:r>
      <w:r>
        <w:br/>
        <w:t>This motivates a stronger formalism where meanings are not merely weighted, but coherently combined.</w:t>
      </w:r>
      <w:r>
        <w:br/>
        <w:t>Quantum mechanics provides a mathematically rigorous framework for such state interactions.</w:t>
      </w:r>
      <w:r>
        <w:br/>
      </w:r>
    </w:p>
    <w:p w14:paraId="31761670" w14:textId="77777777" w:rsidR="00F53156" w:rsidRDefault="00000000">
      <w:pPr>
        <w:pStyle w:val="Heading2"/>
      </w:pPr>
      <w:r>
        <w:t>5. Quantum Contextual Spectrum Tokenization (QCST)</w:t>
      </w:r>
    </w:p>
    <w:p w14:paraId="1A4799B6" w14:textId="77777777" w:rsidR="00F53156" w:rsidRDefault="00000000">
      <w:r>
        <w:br/>
        <w:t>QCST generalizes CST by representing token meaning as a quantum-inspired semantic state.</w:t>
      </w:r>
      <w:r>
        <w:br/>
      </w:r>
      <w:r>
        <w:br/>
        <w:t>A token is represented as a state vector:</w:t>
      </w:r>
      <w:r>
        <w:br/>
        <w:t xml:space="preserve">    |ψ⟩ = Σ α_i |m_i⟩</w:t>
      </w:r>
      <w:r>
        <w:br/>
      </w:r>
      <w:r>
        <w:br/>
        <w:t>where:</w:t>
      </w:r>
      <w:r>
        <w:br/>
        <w:t>- α_i ∈ ℂ are complex amplitudes</w:t>
      </w:r>
      <w:r>
        <w:br/>
        <w:t>- |α_i|² corresponds to the probability of observing meaning m_i</w:t>
      </w:r>
      <w:r>
        <w:br/>
      </w:r>
      <w:r>
        <w:br/>
        <w:t>Unlike classical probabilities, amplitudes can interfere constructively or destructively.</w:t>
      </w:r>
      <w:r>
        <w:br/>
      </w:r>
    </w:p>
    <w:p w14:paraId="47E0987C" w14:textId="77777777" w:rsidR="00F53156" w:rsidRDefault="00000000">
      <w:pPr>
        <w:pStyle w:val="Heading2"/>
      </w:pPr>
      <w:r>
        <w:t>5.1 Context as a Quantum Operator</w:t>
      </w:r>
    </w:p>
    <w:p w14:paraId="0E469DD3" w14:textId="77777777" w:rsidR="00F53156" w:rsidRDefault="00000000">
      <w:r>
        <w:br/>
        <w:t>Contextual information is modeled as an operator U_C acting on the semantic state:</w:t>
      </w:r>
      <w:r>
        <w:br/>
      </w:r>
      <w:r>
        <w:br/>
        <w:t xml:space="preserve">    |ψ'⟩ = U_C |ψ⟩</w:t>
      </w:r>
      <w:r>
        <w:br/>
      </w:r>
      <w:r>
        <w:br/>
        <w:t xml:space="preserve">Different context sources correspond to different operators. Composition of contexts is </w:t>
      </w:r>
      <w:r>
        <w:lastRenderedPageBreak/>
        <w:t>achieved via operator</w:t>
      </w:r>
      <w:r>
        <w:br/>
        <w:t>multiplication, allowing structured and hierarchical context modeling.</w:t>
      </w:r>
      <w:r>
        <w:br/>
      </w:r>
    </w:p>
    <w:p w14:paraId="462153C9" w14:textId="77777777" w:rsidR="00F53156" w:rsidRDefault="00000000">
      <w:pPr>
        <w:pStyle w:val="Heading2"/>
      </w:pPr>
      <w:r>
        <w:t>5.2 Semantic Interference</w:t>
      </w:r>
    </w:p>
    <w:p w14:paraId="07981F56" w14:textId="77777777" w:rsidR="00F53156" w:rsidRDefault="00000000">
      <w:r>
        <w:br/>
        <w:t>QCST allows semantic interference, where combined meanings produce effects not expressible through</w:t>
      </w:r>
      <w:r>
        <w:br/>
        <w:t>independent probabilities:</w:t>
      </w:r>
      <w:r>
        <w:br/>
      </w:r>
      <w:r>
        <w:br/>
        <w:t xml:space="preserve">    |α_i + α_j|² ≠ |α_i|² + |α_j|²</w:t>
      </w:r>
      <w:r>
        <w:br/>
      </w:r>
      <w:r>
        <w:br/>
        <w:t>This provides a principled explanation for emergent semantic effects observed in natural language.</w:t>
      </w:r>
      <w:r>
        <w:br/>
      </w:r>
    </w:p>
    <w:p w14:paraId="71F6ED7F" w14:textId="77777777" w:rsidR="00F53156" w:rsidRDefault="00000000">
      <w:pPr>
        <w:pStyle w:val="Heading2"/>
      </w:pPr>
      <w:r>
        <w:t>5.3 Semantic Measurement and Collapse</w:t>
      </w:r>
    </w:p>
    <w:p w14:paraId="29021760" w14:textId="77777777" w:rsidR="00F53156" w:rsidRDefault="00000000">
      <w:r>
        <w:br/>
        <w:t>Final meaning selection is modeled as a measurement process:</w:t>
      </w:r>
      <w:r>
        <w:br/>
      </w:r>
      <w:r>
        <w:br/>
        <w:t xml:space="preserve">    m* ~ Measurement(|ψ⟩)</w:t>
      </w:r>
      <w:r>
        <w:br/>
      </w:r>
      <w:r>
        <w:br/>
        <w:t>Collapse occurs only when required by downstream tasks, allowing maximal preservation of ambiguity until</w:t>
      </w:r>
      <w:r>
        <w:br/>
        <w:t>decision time.</w:t>
      </w:r>
      <w:r>
        <w:br/>
      </w:r>
    </w:p>
    <w:p w14:paraId="504789A0" w14:textId="77777777" w:rsidR="00F53156" w:rsidRDefault="00000000">
      <w:pPr>
        <w:pStyle w:val="Heading2"/>
      </w:pPr>
      <w:r>
        <w:t>6. Classical Execution of QCST</w:t>
      </w:r>
    </w:p>
    <w:p w14:paraId="6377B177" w14:textId="77777777" w:rsidR="00F53156" w:rsidRDefault="00000000">
      <w:r>
        <w:br/>
        <w:t>Although QCST adopts quantum formalism, execution does not require quantum hardware. State vectors,</w:t>
      </w:r>
      <w:r>
        <w:br/>
        <w:t>operators, and measurements are approximated using classical linear algebra on CPUs and GPUs.</w:t>
      </w:r>
      <w:r>
        <w:br/>
      </w:r>
      <w:r>
        <w:br/>
        <w:t>This ensures deployability, reproducibility, and integration with existing NLP pipelines.</w:t>
      </w:r>
      <w:r>
        <w:br/>
      </w:r>
    </w:p>
    <w:p w14:paraId="01E0031E" w14:textId="77777777" w:rsidR="00F53156" w:rsidRDefault="00000000">
      <w:pPr>
        <w:pStyle w:val="Heading2"/>
      </w:pPr>
      <w:r>
        <w:t>7. Conclusion</w:t>
      </w:r>
    </w:p>
    <w:p w14:paraId="09E4440F" w14:textId="77777777" w:rsidR="00F53156" w:rsidRDefault="00000000">
      <w:r>
        <w:br/>
        <w:t>This work presents a coherent progression from CST to QCST, redefining tokenization as a semantic state</w:t>
      </w:r>
      <w:r>
        <w:br/>
        <w:t>evolution problem. By preserving ambiguity, modeling context as transformation, and deferring semantic</w:t>
      </w:r>
      <w:r>
        <w:br/>
        <w:t xml:space="preserve">collapse, the framework aligns more closely with human language understanding and opens </w:t>
      </w:r>
      <w:r>
        <w:lastRenderedPageBreak/>
        <w:t>new directions for</w:t>
      </w:r>
      <w:r>
        <w:br/>
        <w:t>language model design.</w:t>
      </w:r>
      <w:r>
        <w:br/>
      </w:r>
    </w:p>
    <w:sectPr w:rsidR="00F531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F0327B"/>
    <w:multiLevelType w:val="multilevel"/>
    <w:tmpl w:val="A55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0846">
    <w:abstractNumId w:val="8"/>
  </w:num>
  <w:num w:numId="2" w16cid:durableId="1187140451">
    <w:abstractNumId w:val="6"/>
  </w:num>
  <w:num w:numId="3" w16cid:durableId="361251519">
    <w:abstractNumId w:val="5"/>
  </w:num>
  <w:num w:numId="4" w16cid:durableId="1512183652">
    <w:abstractNumId w:val="4"/>
  </w:num>
  <w:num w:numId="5" w16cid:durableId="21395400">
    <w:abstractNumId w:val="7"/>
  </w:num>
  <w:num w:numId="6" w16cid:durableId="930697430">
    <w:abstractNumId w:val="3"/>
  </w:num>
  <w:num w:numId="7" w16cid:durableId="25716508">
    <w:abstractNumId w:val="2"/>
  </w:num>
  <w:num w:numId="8" w16cid:durableId="220332941">
    <w:abstractNumId w:val="1"/>
  </w:num>
  <w:num w:numId="9" w16cid:durableId="2000233337">
    <w:abstractNumId w:val="0"/>
  </w:num>
  <w:num w:numId="10" w16cid:durableId="1323852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F7F"/>
    <w:rsid w:val="00326F90"/>
    <w:rsid w:val="005A2A57"/>
    <w:rsid w:val="00AA1D8D"/>
    <w:rsid w:val="00AB214D"/>
    <w:rsid w:val="00B4167B"/>
    <w:rsid w:val="00B47286"/>
    <w:rsid w:val="00B47730"/>
    <w:rsid w:val="00CB0664"/>
    <w:rsid w:val="00F53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6A60E"/>
  <w14:defaultImageDpi w14:val="300"/>
  <w15:docId w15:val="{B99E2464-51F5-4C36-B41E-8B742681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sa=E&amp;q=mailto%3Adr.m.elhelbawi%40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Mohamed ELhelbawi</cp:lastModifiedBy>
  <cp:revision>5</cp:revision>
  <dcterms:created xsi:type="dcterms:W3CDTF">2013-12-23T23:15:00Z</dcterms:created>
  <dcterms:modified xsi:type="dcterms:W3CDTF">2025-12-21T14:52:00Z</dcterms:modified>
  <cp:category/>
</cp:coreProperties>
</file>