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Contextual Spectrum Tokenization: An Operator-Based Framework for Context-Aware Representation Learning</w:t>
      </w:r>
    </w:p>
    <w:p>
      <w:pPr>
        <w:pStyle w:val="Heading2"/>
      </w:pPr>
      <w:r>
        <w:t>Abstract</w:t>
      </w:r>
    </w:p>
    <w:p>
      <w:r>
        <w:t>We introduce Contextual Spectrum Tokenization (CST), a framework that redefines token representation as a context-conditioned spectrum rather than a fixed discrete unit. CST enables dynamic meaning modulation, uncertainty-aware representations, and principled information fusion while remaining fully compatible with classical CPU/GPU infrastructure.</w:t>
      </w:r>
    </w:p>
    <w:p>
      <w:pPr>
        <w:pStyle w:val="Heading2"/>
      </w:pPr>
      <w:r>
        <w:t>1. Introduction</w:t>
      </w:r>
    </w:p>
    <w:p>
      <w:r>
        <w:t>Tokenization is a foundational component of language models, yet it remains largely static and context-independent. CST challenges this paradigm by embedding contextual reasoning directly into token representation.</w:t>
      </w:r>
    </w:p>
    <w:p>
      <w:pPr>
        <w:pStyle w:val="Heading2"/>
      </w:pPr>
      <w:r>
        <w:t>2. Spectrum Representation</w:t>
      </w:r>
    </w:p>
    <w:p>
      <w:r>
        <w:t>Each token t under context c is represented as a normalized spectrum psi(t|c), which can be interpreted as a probability distribution over semantic basis elements.</w:t>
        <w:br/>
        <w:br/>
        <w:t>psi(t|c) in R^K, where sum_i psi_i = 1.</w:t>
        <w:br/>
        <w:br/>
        <w:t>In practice, this spectrum is produced using a softmax transformation over a learned projection.</w:t>
      </w:r>
    </w:p>
    <w:p>
      <w:pPr>
        <w:pStyle w:val="Heading2"/>
      </w:pPr>
      <w:r>
        <w:t>3. Contextual Operators</w:t>
      </w:r>
    </w:p>
    <w:p>
      <w:r>
        <w:t>Context is modeled as an operator acting on the spectrum:</w:t>
        <w:br/>
        <w:br/>
        <w:t>psi' = T_c(psi)</w:t>
        <w:br/>
        <w:br/>
        <w:t>where T_c is a learnable transformation implemented using standard neural layers.</w:t>
      </w:r>
    </w:p>
    <w:p>
      <w:pPr>
        <w:pStyle w:val="Heading2"/>
      </w:pPr>
      <w:r>
        <w:t>4. Spectral Fusion</w:t>
      </w:r>
    </w:p>
    <w:p>
      <w:r>
        <w:t>Multiple information sources are fused via weighted spectral composition:</w:t>
        <w:br/>
        <w:br/>
        <w:t>psi_fused = sum_m alpha_m * F_m(psi_m)</w:t>
        <w:br/>
        <w:br/>
        <w:t>where alpha weights are inferred dynamically from context.</w:t>
      </w:r>
    </w:p>
    <w:p>
      <w:pPr>
        <w:pStyle w:val="Heading2"/>
      </w:pPr>
      <w:r>
        <w:t>5. Spectrum Collapse</w:t>
      </w:r>
    </w:p>
    <w:p>
      <w:r>
        <w:t>To interface with downstream models, the spectrum is collapsed into a classical embedding via expectation over basis embeddings.</w:t>
      </w:r>
    </w:p>
    <w:p>
      <w:pPr>
        <w:pStyle w:val="Heading2"/>
      </w:pPr>
      <w:r>
        <w:t>6. Classical Implementation</w:t>
      </w:r>
    </w:p>
    <w:p>
      <w:r>
        <w:t>All CST components are implemented using standard tensor operations on CPU/GPU hardware. No specialized accelerators are required, ensuring full reproducibility.</w:t>
      </w:r>
    </w:p>
    <w:p>
      <w:pPr>
        <w:pStyle w:val="Heading2"/>
      </w:pPr>
      <w:r>
        <w:t>7. Discussion and Conclusion</w:t>
      </w:r>
    </w:p>
    <w:p>
      <w:r>
        <w:t>CST reframes tokenization as a dynamic, context-aware process. The operator-based formulation is backend-agnostic and opens new directions for representation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