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7F01E" w14:textId="23254BA6" w:rsidR="003C57CC" w:rsidRDefault="00787F30" w:rsidP="003C57CC">
      <w:pPr>
        <w:spacing w:after="0"/>
        <w:jc w:val="center"/>
        <w:rPr>
          <w:b/>
          <w:bCs/>
        </w:rPr>
      </w:pPr>
      <w:r w:rsidRPr="00787F30">
        <w:rPr>
          <w:b/>
          <w:bCs/>
        </w:rPr>
        <w:t>Quantum-Inspired Contextual Spectrum Tokenization (QCST):</w:t>
      </w:r>
    </w:p>
    <w:p w14:paraId="570148B8" w14:textId="6135A8C1" w:rsidR="00787F30" w:rsidRPr="00787F30" w:rsidRDefault="00787F30" w:rsidP="003C57CC">
      <w:pPr>
        <w:jc w:val="center"/>
        <w:rPr>
          <w:b/>
          <w:bCs/>
          <w:sz w:val="16"/>
          <w:szCs w:val="16"/>
        </w:rPr>
      </w:pPr>
      <w:r w:rsidRPr="00787F30">
        <w:rPr>
          <w:b/>
          <w:bCs/>
          <w:sz w:val="16"/>
          <w:szCs w:val="16"/>
        </w:rPr>
        <w:t>A Hybrid Operator-Based Architecture for Environment-Aware Text Representation</w:t>
      </w:r>
    </w:p>
    <w:p w14:paraId="674F98A7" w14:textId="68D3D999" w:rsidR="00787F30" w:rsidRPr="00787F30" w:rsidRDefault="00787F30" w:rsidP="00146319">
      <w:pPr>
        <w:spacing w:after="0"/>
      </w:pPr>
      <w:r w:rsidRPr="00787F30">
        <w:rPr>
          <w:b/>
          <w:bCs/>
        </w:rPr>
        <w:t>Author:</w:t>
      </w:r>
      <w:r w:rsidRPr="00787F30">
        <w:t xml:space="preserve"> Mohamed </w:t>
      </w:r>
      <w:proofErr w:type="spellStart"/>
      <w:r w:rsidRPr="00787F30">
        <w:t>Mohamed</w:t>
      </w:r>
      <w:proofErr w:type="spellEnd"/>
      <w:r w:rsidRPr="00787F30">
        <w:t xml:space="preserve"> </w:t>
      </w:r>
      <w:proofErr w:type="spellStart"/>
      <w:r w:rsidRPr="00787F30">
        <w:t>Mohamed</w:t>
      </w:r>
      <w:proofErr w:type="spellEnd"/>
      <w:r w:rsidRPr="00787F30">
        <w:t xml:space="preserve"> Elhelbawi</w:t>
      </w:r>
      <w:r w:rsidRPr="00787F30">
        <w:br/>
      </w:r>
      <w:r w:rsidRPr="00787F30">
        <w:rPr>
          <w:b/>
          <w:bCs/>
        </w:rPr>
        <w:t>Affiliation:</w:t>
      </w:r>
      <w:r w:rsidRPr="00787F30">
        <w:t> Technology Consultant, Synechron</w:t>
      </w:r>
      <w:r w:rsidRPr="00787F30">
        <w:br/>
      </w:r>
      <w:r w:rsidRPr="00787F30">
        <w:rPr>
          <w:b/>
          <w:bCs/>
        </w:rPr>
        <w:t>ORCID ID:</w:t>
      </w:r>
      <w:r w:rsidRPr="00787F30">
        <w:t> 0009-0003-9961-4618</w:t>
      </w:r>
      <w:r w:rsidRPr="00787F30">
        <w:br/>
      </w:r>
      <w:r w:rsidRPr="00787F30">
        <w:rPr>
          <w:b/>
          <w:bCs/>
        </w:rPr>
        <w:t>Contact:</w:t>
      </w:r>
      <w:r w:rsidRPr="00787F30">
        <w:t> </w:t>
      </w:r>
      <w:hyperlink r:id="rId8" w:tgtFrame="_blank" w:history="1">
        <w:r w:rsidRPr="00787F30">
          <w:rPr>
            <w:rStyle w:val="Hyperlink"/>
          </w:rPr>
          <w:t>dr.m.elhelbawi@gmail.com</w:t>
        </w:r>
      </w:hyperlink>
      <w:r w:rsidRPr="00787F30">
        <w:t> | +966595213497</w:t>
      </w:r>
    </w:p>
    <w:p w14:paraId="73A02864" w14:textId="77777777" w:rsidR="00787F30" w:rsidRPr="00787F30" w:rsidRDefault="00787F30" w:rsidP="00787F30">
      <w:pPr>
        <w:jc w:val="both"/>
      </w:pPr>
      <w:r w:rsidRPr="00787F30">
        <w:pict w14:anchorId="2C5BD9A6">
          <v:rect id="_x0000_i1079" style="width:730.5pt;height:1.5pt" o:hrpct="0" o:hralign="center" o:hrstd="t" o:hr="t" fillcolor="#a0a0a0" stroked="f"/>
        </w:pict>
      </w:r>
    </w:p>
    <w:p w14:paraId="623A697B" w14:textId="77777777" w:rsidR="00787F30" w:rsidRPr="00787F30" w:rsidRDefault="00787F30" w:rsidP="00787F30">
      <w:pPr>
        <w:jc w:val="both"/>
        <w:rPr>
          <w:b/>
          <w:bCs/>
        </w:rPr>
      </w:pPr>
      <w:r w:rsidRPr="00787F30">
        <w:rPr>
          <w:b/>
          <w:bCs/>
        </w:rPr>
        <w:t>Abstract</w:t>
      </w:r>
    </w:p>
    <w:p w14:paraId="6AB79816" w14:textId="77777777" w:rsidR="00787F30" w:rsidRDefault="00787F30" w:rsidP="00787F30">
      <w:pPr>
        <w:jc w:val="both"/>
      </w:pPr>
      <w:r w:rsidRPr="00787F30">
        <w:t xml:space="preserve">Traditional </w:t>
      </w:r>
      <w:proofErr w:type="spellStart"/>
      <w:r w:rsidRPr="00787F30">
        <w:t>subword</w:t>
      </w:r>
      <w:proofErr w:type="spellEnd"/>
      <w:r w:rsidRPr="00787F30">
        <w:t xml:space="preserve"> tokenization methods (BPE, </w:t>
      </w:r>
      <w:proofErr w:type="spellStart"/>
      <w:r w:rsidRPr="00787F30">
        <w:t>WordPiece</w:t>
      </w:r>
      <w:proofErr w:type="spellEnd"/>
      <w:r w:rsidRPr="00787F30">
        <w:t>) assign static embeddings to discrete tokens, forcing deep transformer layers to resolve semantic ambiguity and ignore external contextual signals. I propose </w:t>
      </w:r>
      <w:r w:rsidRPr="00787F30">
        <w:rPr>
          <w:b/>
          <w:bCs/>
        </w:rPr>
        <w:t>Quantum-Inspired Contextual Spectrum Tokenization (QCST)</w:t>
      </w:r>
      <w:r w:rsidRPr="00787F30">
        <w:t>, a hybrid framework that treats tokens as context-conditioned semantic spectra. Drawing from operator theory, QCST models context as a learnable transformation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c</m:t>
            </m:r>
          </m:sub>
        </m:sSub>
      </m:oMath>
      <w:r w:rsidRPr="00787F30">
        <w:t xml:space="preserve">) acting upon a token’s base state. This approach enables dynamic meaning modulation and multimodal signal injection at the input layer. To maintain computational viability, I introduce a selective activation mechanism and a multi-tier caching architecture. </w:t>
      </w:r>
    </w:p>
    <w:p w14:paraId="4AE3CCFD" w14:textId="3A15A068" w:rsidR="00787F30" w:rsidRPr="00787F30" w:rsidRDefault="00787F30" w:rsidP="00787F30">
      <w:pPr>
        <w:jc w:val="both"/>
      </w:pPr>
      <w:r w:rsidRPr="00787F30">
        <w:t>Experimental designs suggest that QCST significantly improves word sense disambiguation and domain adaptation while adding only a marginal (15-25%) overhead to inference latency.</w:t>
      </w:r>
    </w:p>
    <w:p w14:paraId="203BE5AC" w14:textId="77777777" w:rsidR="00787F30" w:rsidRPr="00787F30" w:rsidRDefault="00787F30" w:rsidP="00787F30">
      <w:pPr>
        <w:jc w:val="both"/>
      </w:pPr>
      <w:r w:rsidRPr="00787F30">
        <w:pict w14:anchorId="5AB98A0C">
          <v:rect id="_x0000_i1080" style="width:730.5pt;height:1.5pt" o:hrpct="0" o:hralign="center" o:hrstd="t" o:hr="t" fillcolor="#a0a0a0" stroked="f"/>
        </w:pict>
      </w:r>
    </w:p>
    <w:p w14:paraId="34E6B035" w14:textId="77777777" w:rsidR="00787F30" w:rsidRPr="00787F30" w:rsidRDefault="00787F30" w:rsidP="00787F30">
      <w:pPr>
        <w:jc w:val="both"/>
        <w:rPr>
          <w:b/>
          <w:bCs/>
        </w:rPr>
      </w:pPr>
      <w:r w:rsidRPr="00787F30">
        <w:rPr>
          <w:b/>
          <w:bCs/>
        </w:rPr>
        <w:t>1. Introduction</w:t>
      </w:r>
    </w:p>
    <w:p w14:paraId="1102A7FD" w14:textId="77777777" w:rsidR="00787F30" w:rsidRPr="00787F30" w:rsidRDefault="00787F30" w:rsidP="00787F30">
      <w:pPr>
        <w:jc w:val="both"/>
        <w:rPr>
          <w:b/>
          <w:bCs/>
        </w:rPr>
      </w:pPr>
      <w:r w:rsidRPr="00787F30">
        <w:rPr>
          <w:b/>
          <w:bCs/>
        </w:rPr>
        <w:t>1.1 The Static Embedding Bottleneck</w:t>
      </w:r>
    </w:p>
    <w:p w14:paraId="2DF35A5F" w14:textId="77777777" w:rsidR="00787F30" w:rsidRPr="00787F30" w:rsidRDefault="00787F30" w:rsidP="00787F30">
      <w:pPr>
        <w:jc w:val="both"/>
      </w:pPr>
      <w:r w:rsidRPr="00787F30">
        <w:t xml:space="preserve">Modern Large Language Models (LLMs) rely on a rigid pipeline where raw text is mapped to fixed embedding lookups </w:t>
      </w:r>
      <w:r w:rsidRPr="00787F30">
        <w:rPr>
          <w:vertAlign w:val="superscript"/>
        </w:rPr>
        <w:t>[2].</w:t>
      </w:r>
      <w:r w:rsidRPr="00787F30">
        <w:t xml:space="preserve"> This creates a "Semantic Ambiguity Burden": the word "cell" (biological vs. telephonic) enters the model with the same vector, requiring expensive deep-layer attention to resolve its meaning. Furthermore, static tokenization is "multimodal blind," unable to incorporate metadata or visual signals until much later in the latent space </w:t>
      </w:r>
      <w:r w:rsidRPr="00787F30">
        <w:rPr>
          <w:vertAlign w:val="superscript"/>
        </w:rPr>
        <w:t>[4].</w:t>
      </w:r>
    </w:p>
    <w:p w14:paraId="6BDEB099" w14:textId="77777777" w:rsidR="00787F30" w:rsidRPr="00787F30" w:rsidRDefault="00787F30" w:rsidP="00787F30">
      <w:pPr>
        <w:jc w:val="both"/>
        <w:rPr>
          <w:b/>
          <w:bCs/>
        </w:rPr>
      </w:pPr>
      <w:r w:rsidRPr="00787F30">
        <w:rPr>
          <w:b/>
          <w:bCs/>
        </w:rPr>
        <w:t>1.2 Research Objective</w:t>
      </w:r>
    </w:p>
    <w:p w14:paraId="5929BF5D" w14:textId="77777777" w:rsidR="00787F30" w:rsidRPr="00787F30" w:rsidRDefault="00787F30" w:rsidP="00787F30">
      <w:pPr>
        <w:jc w:val="both"/>
      </w:pPr>
      <w:r w:rsidRPr="00787F30">
        <w:t>Can transformer efficiency and semantic fidelity be improved by selectively enriching input representations with contextual information, while maintaining practical computational constraints? QCST challenges the static paradigm by embedding contextual reasoning directly into the tokenization phase.</w:t>
      </w:r>
    </w:p>
    <w:p w14:paraId="319F2E46" w14:textId="21B7C4CF" w:rsidR="00787F30" w:rsidRPr="00787F30" w:rsidRDefault="00787F30" w:rsidP="00787F30">
      <w:pPr>
        <w:jc w:val="both"/>
      </w:pPr>
    </w:p>
    <w:p w14:paraId="42BF04F4" w14:textId="77777777" w:rsidR="00787F30" w:rsidRPr="00787F30" w:rsidRDefault="00787F30" w:rsidP="00787F30">
      <w:pPr>
        <w:jc w:val="both"/>
        <w:rPr>
          <w:b/>
          <w:bCs/>
        </w:rPr>
      </w:pPr>
      <w:r w:rsidRPr="00787F30">
        <w:rPr>
          <w:b/>
          <w:bCs/>
        </w:rPr>
        <w:lastRenderedPageBreak/>
        <w:t>2. Theoretical Framework: Operator-Based Representation</w:t>
      </w:r>
    </w:p>
    <w:p w14:paraId="352DD018" w14:textId="77777777" w:rsidR="00787F30" w:rsidRPr="00787F30" w:rsidRDefault="00787F30" w:rsidP="00787F30">
      <w:pPr>
        <w:jc w:val="both"/>
        <w:rPr>
          <w:b/>
          <w:bCs/>
        </w:rPr>
      </w:pPr>
      <w:r w:rsidRPr="00787F30">
        <w:rPr>
          <w:b/>
          <w:bCs/>
        </w:rPr>
        <w:t>2.1 Spectral Representation</w:t>
      </w:r>
    </w:p>
    <w:p w14:paraId="0319B157" w14:textId="03D1D22F" w:rsidR="00787F30" w:rsidRPr="00787F30" w:rsidRDefault="00787F30" w:rsidP="00787F30">
      <w:pPr>
        <w:jc w:val="both"/>
      </w:pPr>
      <w:r w:rsidRPr="00787F30">
        <w:t>Each token </w:t>
      </w:r>
      <m:oMath>
        <m:r>
          <w:rPr>
            <w:rFonts w:ascii="Cambria Math" w:hAnsi="Cambria Math"/>
          </w:rPr>
          <m:t>t</m:t>
        </m:r>
      </m:oMath>
      <w:r w:rsidRPr="00787F30">
        <w:t> under context </w:t>
      </w:r>
      <m:oMath>
        <m:r>
          <w:rPr>
            <w:rFonts w:ascii="Cambria Math" w:hAnsi="Cambria Math"/>
          </w:rPr>
          <m:t>c</m:t>
        </m:r>
      </m:oMath>
      <w:r w:rsidRPr="00787F30">
        <w:t> is represented as a normalized semantic spectrum </w:t>
      </w:r>
      <m:oMath>
        <m:r>
          <w:rPr>
            <w:rFonts w:ascii="Cambria Math" w:hAnsi="Cambria Math"/>
          </w:rPr>
          <m:t>ψ(t</m:t>
        </m:r>
        <m:r>
          <m:rPr>
            <m:sty m:val="p"/>
          </m:rPr>
          <w:rPr>
            <w:rFonts w:ascii="Cambria Math" w:hAnsi="Cambria Math"/>
          </w:rPr>
          <m:t>∣</m:t>
        </m:r>
        <m:r>
          <w:rPr>
            <w:rFonts w:ascii="Cambria Math" w:hAnsi="Cambria Math"/>
          </w:rPr>
          <m:t>c)</m:t>
        </m:r>
      </m:oMath>
      <w:r w:rsidRPr="00787F30">
        <w:t>, interpreted as a probability distribution over a learned manifold of semantic basis elements:</w:t>
      </w:r>
    </w:p>
    <w:p w14:paraId="0BB4FE8C" w14:textId="0C69535B" w:rsidR="00787F30" w:rsidRPr="00787F30" w:rsidRDefault="00787F30" w:rsidP="00787F30">
      <w:pPr>
        <w:shd w:val="clear" w:color="auto" w:fill="F2F2F2" w:themeFill="background1" w:themeFillShade="F2"/>
        <w:jc w:val="both"/>
      </w:pPr>
      <m:oMathPara>
        <m:oMath>
          <m:r>
            <w:rPr>
              <w:rFonts w:ascii="Cambria Math" w:hAnsi="Cambria Math"/>
            </w:rPr>
            <m:t>ψ(t</m:t>
          </m:r>
          <m:r>
            <m:rPr>
              <m:sty m:val="p"/>
            </m:rPr>
            <w:rPr>
              <w:rFonts w:ascii="Cambria Math" w:hAnsi="Cambria Math"/>
            </w:rPr>
            <m:t>∣</m:t>
          </m:r>
          <m:r>
            <w:rPr>
              <w:rFonts w:ascii="Cambria Math" w:hAnsi="Cambria Math"/>
            </w:rPr>
            <m:t>c)∈</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r>
            <w:rPr>
              <w:rFonts w:ascii="Cambria Math" w:hAnsi="Cambria Math"/>
            </w:rPr>
            <m:t>,</m:t>
          </m:r>
          <m:r>
            <m:rPr>
              <m:nor/>
            </m:rPr>
            <m:t xml:space="preserve"> where </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ψ</m:t>
                  </m:r>
                </m:e>
                <m:sub>
                  <m:r>
                    <w:rPr>
                      <w:rFonts w:ascii="Cambria Math" w:hAnsi="Cambria Math"/>
                    </w:rPr>
                    <m:t>i</m:t>
                  </m:r>
                </m:sub>
              </m:sSub>
            </m:e>
          </m:nary>
          <m:r>
            <w:rPr>
              <w:rFonts w:ascii="Cambria Math" w:hAnsi="Cambria Math"/>
            </w:rPr>
            <m:t>=1</m:t>
          </m:r>
        </m:oMath>
      </m:oMathPara>
    </w:p>
    <w:p w14:paraId="3995ED38" w14:textId="77777777" w:rsidR="00787F30" w:rsidRPr="00787F30" w:rsidRDefault="00787F30" w:rsidP="00787F30">
      <w:pPr>
        <w:jc w:val="both"/>
        <w:rPr>
          <w:b/>
          <w:bCs/>
        </w:rPr>
      </w:pPr>
      <w:r w:rsidRPr="00787F30">
        <w:rPr>
          <w:b/>
          <w:bCs/>
        </w:rPr>
        <w:t>2.2 Contextual Operators</w:t>
      </w:r>
    </w:p>
    <w:p w14:paraId="7F358942" w14:textId="3E0CCF2F" w:rsidR="00787F30" w:rsidRPr="00787F30" w:rsidRDefault="00787F30" w:rsidP="00787F30">
      <w:pPr>
        <w:jc w:val="both"/>
      </w:pPr>
      <w:r w:rsidRPr="00787F30">
        <w:t>Context is modeled as a learnable operator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c</m:t>
            </m:r>
          </m:sub>
        </m:sSub>
      </m:oMath>
      <w:r w:rsidRPr="00787F30">
        <w:t> acting upon the spectrum:</w:t>
      </w:r>
    </w:p>
    <w:p w14:paraId="43DFB35F" w14:textId="0C75161E" w:rsidR="00787F30" w:rsidRPr="00787F30" w:rsidRDefault="00787F30" w:rsidP="00787F30">
      <w:pPr>
        <w:shd w:val="clear" w:color="auto" w:fill="F2F2F2" w:themeFill="background1" w:themeFillShade="F2"/>
        <w:jc w:val="both"/>
      </w:pPr>
      <m:oMathPara>
        <m:oMath>
          <m:sSup>
            <m:sSupPr>
              <m:ctrlPr>
                <w:rPr>
                  <w:rFonts w:ascii="Cambria Math" w:hAnsi="Cambria Math"/>
                </w:rPr>
              </m:ctrlPr>
            </m:sSupPr>
            <m:e>
              <m:r>
                <w:rPr>
                  <w:rFonts w:ascii="Cambria Math" w:hAnsi="Cambria Math"/>
                </w:rPr>
                <m:t>ψ</m:t>
              </m:r>
            </m:e>
            <m:sup>
              <m:r>
                <m:rPr>
                  <m:sty m:val="p"/>
                </m:rPr>
                <w:rPr>
                  <w:rFonts w:ascii="Cambria Math" w:hAnsi="Cambria Math"/>
                </w:rPr>
                <m:t>'</m:t>
              </m:r>
            </m:sup>
          </m:s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c</m:t>
              </m:r>
            </m:sub>
          </m:sSub>
          <m:r>
            <w:rPr>
              <w:rFonts w:ascii="Cambria Math" w:hAnsi="Cambria Math"/>
            </w:rPr>
            <m:t>(ψ)</m:t>
          </m:r>
        </m:oMath>
      </m:oMathPara>
    </w:p>
    <w:p w14:paraId="77F109DE" w14:textId="02DE40CA" w:rsidR="00787F30" w:rsidRPr="00787F30" w:rsidRDefault="00787F30" w:rsidP="00787F30">
      <w:pPr>
        <w:jc w:val="both"/>
      </w:pPr>
      <w:r w:rsidRPr="00787F30">
        <w:t>In this framework, context is an active transformation that shifts the token’s probability distribution across the semantic manifold.</w:t>
      </w:r>
    </w:p>
    <w:p w14:paraId="751478FD" w14:textId="77777777" w:rsidR="00787F30" w:rsidRPr="00787F30" w:rsidRDefault="00787F30" w:rsidP="00787F30">
      <w:pPr>
        <w:jc w:val="both"/>
        <w:rPr>
          <w:b/>
          <w:bCs/>
        </w:rPr>
      </w:pPr>
      <w:r w:rsidRPr="00787F30">
        <w:rPr>
          <w:b/>
          <w:bCs/>
        </w:rPr>
        <w:t>2.3 Spectrum Collapse</w:t>
      </w:r>
    </w:p>
    <w:p w14:paraId="5174DCE4" w14:textId="790B7E53" w:rsidR="00787F30" w:rsidRPr="00787F30" w:rsidRDefault="00787F30" w:rsidP="00787F30">
      <w:pPr>
        <w:jc w:val="both"/>
      </w:pPr>
      <w:r w:rsidRPr="00787F30">
        <w:t>To interface with classical Transformer layers, the spectrum is collapsed into a classical embedding </w:t>
      </w:r>
      <m:oMath>
        <m:r>
          <w:rPr>
            <w:rFonts w:ascii="Cambria Math" w:hAnsi="Cambria Math"/>
          </w:rPr>
          <m:t>E</m:t>
        </m:r>
      </m:oMath>
      <w:r w:rsidRPr="00787F30">
        <w:t> via expectation over basis embeddings </w:t>
      </w:r>
      <m:oMath>
        <m:r>
          <w:rPr>
            <w:rFonts w:ascii="Cambria Math" w:hAnsi="Cambria Math"/>
          </w:rPr>
          <m:t>B</m:t>
        </m:r>
      </m:oMath>
      <w:r w:rsidRPr="00787F30">
        <w:t>:</w:t>
      </w:r>
    </w:p>
    <w:p w14:paraId="0B4AF8D6" w14:textId="48FA37EE" w:rsidR="00787F30" w:rsidRPr="00787F30" w:rsidRDefault="00787F30" w:rsidP="00787F30">
      <w:pPr>
        <w:shd w:val="clear" w:color="auto" w:fill="F2F2F2" w:themeFill="background1" w:themeFillShade="F2"/>
        <w:jc w:val="both"/>
      </w:pPr>
      <m:oMathPara>
        <m:oMath>
          <m:r>
            <w:rPr>
              <w:rFonts w:ascii="Cambria Math" w:hAnsi="Cambria Math"/>
            </w:rPr>
            <m:t>E=</m:t>
          </m:r>
          <m:r>
            <m:rPr>
              <m:scr m:val="double-struck"/>
              <m:sty m:val="p"/>
            </m:rPr>
            <w:rPr>
              <w:rFonts w:ascii="Cambria Math" w:hAnsi="Cambria Math"/>
            </w:rPr>
            <m:t>E</m:t>
          </m:r>
          <m:r>
            <w:rPr>
              <w:rFonts w:ascii="Cambria Math" w:hAnsi="Cambria Math"/>
            </w:rPr>
            <m:t>[ψ(t</m:t>
          </m:r>
          <m:r>
            <m:rPr>
              <m:sty m:val="p"/>
            </m:rPr>
            <w:rPr>
              <w:rFonts w:ascii="Cambria Math" w:hAnsi="Cambria Math"/>
            </w:rPr>
            <m:t>∣</m:t>
          </m:r>
          <m:r>
            <w:rPr>
              <w:rFonts w:ascii="Cambria Math" w:hAnsi="Cambria Math"/>
            </w:rPr>
            <m:t>c),B]</m:t>
          </m:r>
        </m:oMath>
      </m:oMathPara>
    </w:p>
    <w:p w14:paraId="6318AD0A" w14:textId="13CAF7A3" w:rsidR="00787F30" w:rsidRPr="00787F30" w:rsidRDefault="00787F30" w:rsidP="00787F30">
      <w:pPr>
        <w:jc w:val="both"/>
      </w:pPr>
      <w:r w:rsidRPr="00787F30">
        <w:t>This principled collapse ensures the output remains a </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rsidRPr="00787F30">
        <w:t> dimension vector, ensuring full compatibility with standard GPU/CPU hardware.</w:t>
      </w:r>
    </w:p>
    <w:p w14:paraId="2D3ED41E" w14:textId="77777777" w:rsidR="00787F30" w:rsidRPr="00787F30" w:rsidRDefault="00787F30" w:rsidP="00787F30">
      <w:pPr>
        <w:jc w:val="both"/>
        <w:rPr>
          <w:b/>
          <w:bCs/>
        </w:rPr>
      </w:pPr>
      <w:r w:rsidRPr="00787F30">
        <w:rPr>
          <w:b/>
          <w:bCs/>
        </w:rPr>
        <w:t>3. System Architecture</w:t>
      </w:r>
    </w:p>
    <w:p w14:paraId="5E5C49C7" w14:textId="6E94E582" w:rsidR="00787F30" w:rsidRPr="00787F30" w:rsidRDefault="00787F30" w:rsidP="00113174">
      <w:pPr>
        <w:bidi/>
        <w:jc w:val="right"/>
      </w:pPr>
      <w:r w:rsidRPr="00787F30">
        <w:t>QCST operates as a hybrid system with four key components integrated into</w:t>
      </w:r>
      <w:r w:rsidR="003C57CC">
        <w:t xml:space="preserve"> </w:t>
      </w:r>
      <w:r w:rsidRPr="00787F30">
        <w:t>the </w:t>
      </w:r>
      <w:proofErr w:type="spellStart"/>
      <w:r w:rsidRPr="00787F30">
        <w:t>QCSTModule</w:t>
      </w:r>
      <w:proofErr w:type="spellEnd"/>
      <w:r w:rsidRPr="00787F30">
        <w:t>.</w:t>
      </w:r>
    </w:p>
    <w:p w14:paraId="1587510E" w14:textId="77777777" w:rsidR="00787F30" w:rsidRPr="00787F30" w:rsidRDefault="00787F30" w:rsidP="00787F30">
      <w:pPr>
        <w:jc w:val="both"/>
        <w:rPr>
          <w:b/>
          <w:bCs/>
        </w:rPr>
      </w:pPr>
      <w:r w:rsidRPr="00787F30">
        <w:rPr>
          <w:b/>
          <w:bCs/>
        </w:rPr>
        <w:t>3.1 Ambiguity Classifier</w:t>
      </w:r>
    </w:p>
    <w:p w14:paraId="743737A4" w14:textId="72670A73" w:rsidR="00787F30" w:rsidRPr="00787F30" w:rsidRDefault="00787F30" w:rsidP="003C57CC">
      <w:pPr>
        <w:rPr>
          <w:b/>
          <w:bCs/>
        </w:rPr>
      </w:pPr>
      <w:r w:rsidRPr="00787F30">
        <w:t>A lightweight neural classifier determines when context-dependent tokenization is needed. If a token is functionally static (e.g., "the", "and"), it bypasses the mapper:</w:t>
      </w:r>
      <w:r w:rsidRPr="00787F30">
        <w:br/>
      </w:r>
      <m:oMathPara>
        <m:oMath>
          <m:r>
            <w:rPr>
              <w:rFonts w:ascii="Cambria Math" w:hAnsi="Cambria Math"/>
              <w:shd w:val="clear" w:color="auto" w:fill="F2F2F2" w:themeFill="background1" w:themeFillShade="F2"/>
            </w:rPr>
            <m:t>P(</m:t>
          </m:r>
          <m:r>
            <m:rPr>
              <m:nor/>
            </m:rPr>
            <w:rPr>
              <w:shd w:val="clear" w:color="auto" w:fill="F2F2F2" w:themeFill="background1" w:themeFillShade="F2"/>
            </w:rPr>
            <m:t>ambiguous</m:t>
          </m:r>
          <m:r>
            <m:rPr>
              <m:sty m:val="p"/>
            </m:rPr>
            <w:rPr>
              <w:rFonts w:ascii="Cambria Math" w:hAnsi="Cambria Math"/>
              <w:shd w:val="clear" w:color="auto" w:fill="F2F2F2" w:themeFill="background1" w:themeFillShade="F2"/>
            </w:rPr>
            <m:t>∣</m:t>
          </m:r>
          <m:r>
            <m:rPr>
              <m:nor/>
            </m:rPr>
            <w:rPr>
              <w:shd w:val="clear" w:color="auto" w:fill="F2F2F2" w:themeFill="background1" w:themeFillShade="F2"/>
            </w:rPr>
            <m:t>token</m:t>
          </m:r>
          <m:r>
            <w:rPr>
              <w:rFonts w:ascii="Cambria Math" w:hAnsi="Cambria Math"/>
              <w:shd w:val="clear" w:color="auto" w:fill="F2F2F2" w:themeFill="background1" w:themeFillShade="F2"/>
            </w:rPr>
            <m:t>,</m:t>
          </m:r>
          <m:r>
            <m:rPr>
              <m:nor/>
            </m:rPr>
            <w:rPr>
              <w:shd w:val="clear" w:color="auto" w:fill="F2F2F2" w:themeFill="background1" w:themeFillShade="F2"/>
            </w:rPr>
            <m:t>context</m:t>
          </m:r>
          <m:r>
            <w:rPr>
              <w:rFonts w:ascii="Cambria Math" w:hAnsi="Cambria Math"/>
              <w:shd w:val="clear" w:color="auto" w:fill="F2F2F2" w:themeFill="background1" w:themeFillShade="F2"/>
            </w:rPr>
            <m:t>)→{0,1}</m:t>
          </m:r>
          <m:r>
            <w:rPr>
              <w:i/>
            </w:rPr>
            <w:br/>
          </m:r>
        </m:oMath>
      </m:oMathPara>
      <w:r w:rsidRPr="00787F30">
        <w:rPr>
          <w:b/>
          <w:bCs/>
        </w:rPr>
        <w:t>3.2 Fragment Encoder</w:t>
      </w:r>
    </w:p>
    <w:p w14:paraId="055E93A8" w14:textId="40339BC1" w:rsidR="00787F30" w:rsidRDefault="00787F30" w:rsidP="00787F30">
      <w:pPr>
        <w:jc w:val="both"/>
      </w:pPr>
      <w:r w:rsidRPr="00787F30">
        <w:t>Encodes text fragments with local n-gram windows and syntactic dependencies using a dual CNN-Transformer approach to capture both local patterns and long-range character-level dependencies.</w:t>
      </w:r>
    </w:p>
    <w:p w14:paraId="16EB0BAA" w14:textId="77777777" w:rsidR="00787F30" w:rsidRDefault="00787F30">
      <w:r>
        <w:br w:type="page"/>
      </w:r>
    </w:p>
    <w:p w14:paraId="185337ED" w14:textId="77777777" w:rsidR="00787F30" w:rsidRPr="00787F30" w:rsidRDefault="00787F30" w:rsidP="00787F30">
      <w:pPr>
        <w:jc w:val="both"/>
        <w:rPr>
          <w:b/>
          <w:bCs/>
        </w:rPr>
      </w:pPr>
      <w:r w:rsidRPr="00787F30">
        <w:rPr>
          <w:b/>
          <w:bCs/>
        </w:rPr>
        <w:lastRenderedPageBreak/>
        <w:t>3.3 Information Fuser</w:t>
      </w:r>
    </w:p>
    <w:p w14:paraId="4B9532CC" w14:textId="77777777" w:rsidR="00787F30" w:rsidRPr="00787F30" w:rsidRDefault="00787F30" w:rsidP="00787F30">
      <w:pPr>
        <w:jc w:val="both"/>
      </w:pPr>
      <w:r w:rsidRPr="00787F30">
        <w:t>Fuses fragment encodings with external signals. It employs cross-attention mechanisms to inject:</w:t>
      </w:r>
    </w:p>
    <w:p w14:paraId="35CAA2B0" w14:textId="77777777" w:rsidR="00787F30" w:rsidRPr="00787F30" w:rsidRDefault="00787F30" w:rsidP="00787F30">
      <w:pPr>
        <w:numPr>
          <w:ilvl w:val="0"/>
          <w:numId w:val="10"/>
        </w:numPr>
        <w:jc w:val="both"/>
      </w:pPr>
      <w:r w:rsidRPr="00787F30">
        <w:rPr>
          <w:b/>
          <w:bCs/>
        </w:rPr>
        <w:t>Document Signals:</w:t>
      </w:r>
      <w:r w:rsidRPr="00787F30">
        <w:t> Topic vectors and discourse structure.</w:t>
      </w:r>
    </w:p>
    <w:p w14:paraId="39D006F7" w14:textId="77777777" w:rsidR="00787F30" w:rsidRPr="00787F30" w:rsidRDefault="00787F30" w:rsidP="00787F30">
      <w:pPr>
        <w:numPr>
          <w:ilvl w:val="0"/>
          <w:numId w:val="10"/>
        </w:numPr>
        <w:jc w:val="both"/>
      </w:pPr>
      <w:r w:rsidRPr="00787F30">
        <w:rPr>
          <w:b/>
          <w:bCs/>
        </w:rPr>
        <w:t>Multimodal Data:</w:t>
      </w:r>
      <w:r w:rsidRPr="00787F30">
        <w:t> Image (</w:t>
      </w:r>
      <w:proofErr w:type="spellStart"/>
      <w:r w:rsidRPr="00787F30">
        <w:t>ViT</w:t>
      </w:r>
      <w:proofErr w:type="spellEnd"/>
      <w:r w:rsidRPr="00787F30">
        <w:t>/CLIP features) and audio embeddings.</w:t>
      </w:r>
    </w:p>
    <w:p w14:paraId="7CA80113" w14:textId="77777777" w:rsidR="00787F30" w:rsidRPr="00787F30" w:rsidRDefault="00787F30" w:rsidP="00787F30">
      <w:pPr>
        <w:numPr>
          <w:ilvl w:val="0"/>
          <w:numId w:val="10"/>
        </w:numPr>
        <w:jc w:val="both"/>
      </w:pPr>
      <w:r w:rsidRPr="00787F30">
        <w:rPr>
          <w:b/>
          <w:bCs/>
        </w:rPr>
        <w:t>Metadata:</w:t>
      </w:r>
      <w:r w:rsidRPr="00787F30">
        <w:t> Author tags, domain expertise, and timestamps.</w:t>
      </w:r>
    </w:p>
    <w:p w14:paraId="543E43D1" w14:textId="77777777" w:rsidR="00787F30" w:rsidRPr="00787F30" w:rsidRDefault="00787F30" w:rsidP="00787F30">
      <w:pPr>
        <w:jc w:val="both"/>
        <w:rPr>
          <w:b/>
          <w:bCs/>
        </w:rPr>
      </w:pPr>
      <w:r w:rsidRPr="00787F30">
        <w:rPr>
          <w:b/>
          <w:bCs/>
        </w:rPr>
        <w:t>3.4 Projection Head</w:t>
      </w:r>
    </w:p>
    <w:p w14:paraId="2A048B2B" w14:textId="58B1227F" w:rsidR="00787F30" w:rsidRPr="00787F30" w:rsidRDefault="00787F30" w:rsidP="00787F30">
      <w:pPr>
        <w:jc w:val="both"/>
      </w:pPr>
      <w:r w:rsidRPr="00787F30">
        <w:t>Maps the fused representation to the final</w:t>
      </w:r>
      <w:r>
        <w:t xml:space="preserve"> </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t xml:space="preserve"> </w:t>
      </w:r>
      <w:r w:rsidRPr="00787F30">
        <w:t> space using a bounded activation function (e.g., Tanh) to ensure representational stability.</w:t>
      </w:r>
    </w:p>
    <w:p w14:paraId="56F23666" w14:textId="77777777" w:rsidR="00787F30" w:rsidRPr="00787F30" w:rsidRDefault="00787F30" w:rsidP="00787F30">
      <w:pPr>
        <w:jc w:val="both"/>
        <w:rPr>
          <w:b/>
          <w:bCs/>
        </w:rPr>
      </w:pPr>
      <w:r w:rsidRPr="00787F30">
        <w:rPr>
          <w:b/>
          <w:bCs/>
        </w:rPr>
        <w:t>4. Training Protocol</w:t>
      </w:r>
    </w:p>
    <w:p w14:paraId="251DC35E" w14:textId="77777777" w:rsidR="00787F30" w:rsidRPr="00787F30" w:rsidRDefault="00787F30" w:rsidP="00787F30">
      <w:pPr>
        <w:jc w:val="both"/>
        <w:rPr>
          <w:b/>
          <w:bCs/>
        </w:rPr>
      </w:pPr>
      <w:r w:rsidRPr="00787F30">
        <w:rPr>
          <w:b/>
          <w:bCs/>
        </w:rPr>
        <w:t>4.1 Contrastive Pre-training</w:t>
      </w:r>
    </w:p>
    <w:p w14:paraId="0FFA900D" w14:textId="77777777" w:rsidR="003C57CC" w:rsidRDefault="00787F30" w:rsidP="003C57CC">
      <w:pPr>
        <w:spacing w:after="0"/>
        <w:jc w:val="both"/>
      </w:pPr>
      <w:r w:rsidRPr="00787F30">
        <w:t>The </w:t>
      </w:r>
      <w:proofErr w:type="spellStart"/>
      <w:r w:rsidRPr="00787F30">
        <w:t>SpectrumMapper</w:t>
      </w:r>
      <w:proofErr w:type="spellEnd"/>
      <w:r w:rsidRPr="00787F30">
        <w:t xml:space="preserve"> is trained using an </w:t>
      </w:r>
      <w:proofErr w:type="spellStart"/>
      <w:r w:rsidRPr="00787F30">
        <w:t>InfoNCE</w:t>
      </w:r>
      <w:proofErr w:type="spellEnd"/>
      <w:r w:rsidRPr="00787F30">
        <w:t xml:space="preserve"> loss to maximize the agreement between a token’s spectrum and its true context while minimizing agreement with noise contexts.</w:t>
      </w:r>
    </w:p>
    <w:p w14:paraId="6D30FF72" w14:textId="455CEA6E" w:rsidR="003C57CC" w:rsidRDefault="00787F30" w:rsidP="003C57CC">
      <w:pPr>
        <w:shd w:val="clear" w:color="auto" w:fill="F2F2F2" w:themeFill="background1" w:themeFillShade="F2"/>
        <w:spacing w:after="0"/>
        <w:jc w:val="both"/>
        <w:rPr>
          <w:b/>
          <w:bCs/>
        </w:rPr>
      </w:pPr>
      <m:oMathPara>
        <m:oMath>
          <m:sSub>
            <m:sSubPr>
              <m:ctrlPr>
                <w:rPr>
                  <w:rFonts w:ascii="Cambria Math" w:hAnsi="Cambria Math"/>
                  <w:shd w:val="clear" w:color="auto" w:fill="F2F2F2" w:themeFill="background1" w:themeFillShade="F2"/>
                </w:rPr>
              </m:ctrlPr>
            </m:sSubPr>
            <m:e>
              <m:r>
                <m:rPr>
                  <m:scr m:val="script"/>
                </m:rPr>
                <w:rPr>
                  <w:rFonts w:ascii="Cambria Math" w:hAnsi="Cambria Math"/>
                  <w:shd w:val="clear" w:color="auto" w:fill="F2F2F2" w:themeFill="background1" w:themeFillShade="F2"/>
                </w:rPr>
                <m:t>L</m:t>
              </m:r>
            </m:e>
            <m:sub>
              <m:r>
                <w:rPr>
                  <w:rFonts w:ascii="Cambria Math" w:hAnsi="Cambria Math"/>
                  <w:shd w:val="clear" w:color="auto" w:fill="F2F2F2" w:themeFill="background1" w:themeFillShade="F2"/>
                </w:rPr>
                <m:t>QCST</m:t>
              </m:r>
            </m:sub>
          </m:sSub>
          <m:r>
            <w:rPr>
              <w:rFonts w:ascii="Cambria Math" w:hAnsi="Cambria Math"/>
              <w:shd w:val="clear" w:color="auto" w:fill="F2F2F2" w:themeFill="background1" w:themeFillShade="F2"/>
            </w:rPr>
            <m:t>=-</m:t>
          </m:r>
          <m:r>
            <m:rPr>
              <m:sty m:val="p"/>
            </m:rPr>
            <w:rPr>
              <w:rFonts w:ascii="Cambria Math" w:hAnsi="Cambria Math"/>
              <w:shd w:val="clear" w:color="auto" w:fill="F2F2F2" w:themeFill="background1" w:themeFillShade="F2"/>
            </w:rPr>
            <m:t>log</m:t>
          </m:r>
          <m:r>
            <w:rPr>
              <w:rFonts w:ascii="Cambria Math" w:hAnsi="Cambria Math"/>
              <w:shd w:val="clear" w:color="auto" w:fill="F2F2F2" w:themeFill="background1" w:themeFillShade="F2"/>
            </w:rPr>
            <m:t>⁡</m:t>
          </m:r>
          <m:f>
            <m:fPr>
              <m:ctrlPr>
                <w:rPr>
                  <w:rFonts w:ascii="Cambria Math" w:hAnsi="Cambria Math"/>
                  <w:shd w:val="clear" w:color="auto" w:fill="F2F2F2" w:themeFill="background1" w:themeFillShade="F2"/>
                </w:rPr>
              </m:ctrlPr>
            </m:fPr>
            <m:num>
              <m:r>
                <m:rPr>
                  <m:sty m:val="p"/>
                </m:rPr>
                <w:rPr>
                  <w:rFonts w:ascii="Cambria Math" w:hAnsi="Cambria Math"/>
                  <w:shd w:val="clear" w:color="auto" w:fill="F2F2F2" w:themeFill="background1" w:themeFillShade="F2"/>
                </w:rPr>
                <m:t>exp</m:t>
              </m:r>
              <m:r>
                <w:rPr>
                  <w:rFonts w:ascii="Cambria Math" w:hAnsi="Cambria Math"/>
                  <w:shd w:val="clear" w:color="auto" w:fill="F2F2F2" w:themeFill="background1" w:themeFillShade="F2"/>
                </w:rPr>
                <m:t>⁡(</m:t>
              </m:r>
              <m:r>
                <m:rPr>
                  <m:nor/>
                </m:rPr>
                <w:rPr>
                  <w:shd w:val="clear" w:color="auto" w:fill="F2F2F2" w:themeFill="background1" w:themeFillShade="F2"/>
                </w:rPr>
                <m:t>sim</m:t>
              </m:r>
              <m:r>
                <w:rPr>
                  <w:rFonts w:ascii="Cambria Math" w:hAnsi="Cambria Math"/>
                  <w:shd w:val="clear" w:color="auto" w:fill="F2F2F2" w:themeFill="background1" w:themeFillShade="F2"/>
                </w:rPr>
                <m:t>(ψ,</m:t>
              </m:r>
              <m:sSub>
                <m:sSubPr>
                  <m:ctrlPr>
                    <w:rPr>
                      <w:rFonts w:ascii="Cambria Math" w:hAnsi="Cambria Math"/>
                      <w:shd w:val="clear" w:color="auto" w:fill="F2F2F2" w:themeFill="background1" w:themeFillShade="F2"/>
                    </w:rPr>
                  </m:ctrlPr>
                </m:sSubPr>
                <m:e>
                  <m:r>
                    <w:rPr>
                      <w:rFonts w:ascii="Cambria Math" w:hAnsi="Cambria Math"/>
                      <w:shd w:val="clear" w:color="auto" w:fill="F2F2F2" w:themeFill="background1" w:themeFillShade="F2"/>
                    </w:rPr>
                    <m:t>c</m:t>
                  </m:r>
                </m:e>
                <m:sub>
                  <m:r>
                    <w:rPr>
                      <w:rFonts w:ascii="Cambria Math" w:hAnsi="Cambria Math"/>
                      <w:shd w:val="clear" w:color="auto" w:fill="F2F2F2" w:themeFill="background1" w:themeFillShade="F2"/>
                    </w:rPr>
                    <m:t>pos</m:t>
                  </m:r>
                </m:sub>
              </m:sSub>
              <m:r>
                <w:rPr>
                  <w:rFonts w:ascii="Cambria Math" w:hAnsi="Cambria Math"/>
                  <w:shd w:val="clear" w:color="auto" w:fill="F2F2F2" w:themeFill="background1" w:themeFillShade="F2"/>
                </w:rPr>
                <m:t>))</m:t>
              </m:r>
            </m:num>
            <m:den>
              <m:r>
                <w:rPr>
                  <w:rFonts w:ascii="Cambria Math" w:hAnsi="Cambria Math"/>
                  <w:shd w:val="clear" w:color="auto" w:fill="F2F2F2" w:themeFill="background1" w:themeFillShade="F2"/>
                </w:rPr>
                <m:t>∑</m:t>
              </m:r>
              <m:r>
                <m:rPr>
                  <m:sty m:val="p"/>
                </m:rPr>
                <w:rPr>
                  <w:rFonts w:ascii="Cambria Math" w:hAnsi="Cambria Math"/>
                  <w:shd w:val="clear" w:color="auto" w:fill="F2F2F2" w:themeFill="background1" w:themeFillShade="F2"/>
                </w:rPr>
                <m:t>exp</m:t>
              </m:r>
              <m:r>
                <w:rPr>
                  <w:rFonts w:ascii="Cambria Math" w:hAnsi="Cambria Math"/>
                  <w:shd w:val="clear" w:color="auto" w:fill="F2F2F2" w:themeFill="background1" w:themeFillShade="F2"/>
                </w:rPr>
                <m:t>⁡(</m:t>
              </m:r>
              <m:r>
                <m:rPr>
                  <m:nor/>
                </m:rPr>
                <w:rPr>
                  <w:shd w:val="clear" w:color="auto" w:fill="F2F2F2" w:themeFill="background1" w:themeFillShade="F2"/>
                </w:rPr>
                <m:t>sim</m:t>
              </m:r>
              <m:r>
                <w:rPr>
                  <w:rFonts w:ascii="Cambria Math" w:hAnsi="Cambria Math"/>
                  <w:shd w:val="clear" w:color="auto" w:fill="F2F2F2" w:themeFill="background1" w:themeFillShade="F2"/>
                </w:rPr>
                <m:t>(ψ,</m:t>
              </m:r>
              <m:sSub>
                <m:sSubPr>
                  <m:ctrlPr>
                    <w:rPr>
                      <w:rFonts w:ascii="Cambria Math" w:hAnsi="Cambria Math"/>
                      <w:shd w:val="clear" w:color="auto" w:fill="F2F2F2" w:themeFill="background1" w:themeFillShade="F2"/>
                    </w:rPr>
                  </m:ctrlPr>
                </m:sSubPr>
                <m:e>
                  <m:r>
                    <w:rPr>
                      <w:rFonts w:ascii="Cambria Math" w:hAnsi="Cambria Math"/>
                      <w:shd w:val="clear" w:color="auto" w:fill="F2F2F2" w:themeFill="background1" w:themeFillShade="F2"/>
                    </w:rPr>
                    <m:t>c</m:t>
                  </m:r>
                </m:e>
                <m:sub>
                  <m:r>
                    <w:rPr>
                      <w:rFonts w:ascii="Cambria Math" w:hAnsi="Cambria Math"/>
                      <w:shd w:val="clear" w:color="auto" w:fill="F2F2F2" w:themeFill="background1" w:themeFillShade="F2"/>
                    </w:rPr>
                    <m:t>neg</m:t>
                  </m:r>
                </m:sub>
              </m:sSub>
              <m:r>
                <w:rPr>
                  <w:rFonts w:ascii="Cambria Math" w:hAnsi="Cambria Math"/>
                  <w:shd w:val="clear" w:color="auto" w:fill="F2F2F2" w:themeFill="background1" w:themeFillShade="F2"/>
                </w:rPr>
                <m:t>))</m:t>
              </m:r>
            </m:den>
          </m:f>
        </m:oMath>
      </m:oMathPara>
    </w:p>
    <w:p w14:paraId="740A3EC3" w14:textId="7BF1254D" w:rsidR="00787F30" w:rsidRPr="00787F30" w:rsidRDefault="00787F30" w:rsidP="003C57CC">
      <w:pPr>
        <w:jc w:val="both"/>
        <w:rPr>
          <w:b/>
          <w:bCs/>
        </w:rPr>
      </w:pPr>
      <w:r w:rsidRPr="00787F30">
        <w:rPr>
          <w:b/>
          <w:bCs/>
        </w:rPr>
        <w:t>4.2 Spectral Regularization</w:t>
      </w:r>
    </w:p>
    <w:p w14:paraId="4816C6D3" w14:textId="77777777" w:rsidR="00787F30" w:rsidRPr="00787F30" w:rsidRDefault="00787F30" w:rsidP="00787F30">
      <w:pPr>
        <w:jc w:val="both"/>
      </w:pPr>
      <w:r w:rsidRPr="00787F30">
        <w:t>To prevent "representation drift," I implement </w:t>
      </w:r>
      <w:r w:rsidRPr="00787F30">
        <w:rPr>
          <w:b/>
          <w:bCs/>
        </w:rPr>
        <w:t>Spectral Anchoring</w:t>
      </w:r>
      <w:r w:rsidRPr="00787F30">
        <w:t>. I maintain fixed reference points for common tokens and use exponential moving average (EMA) updates to ensure the manifold evolves gradually.</w:t>
      </w:r>
    </w:p>
    <w:p w14:paraId="2CD67148" w14:textId="13492A93" w:rsidR="00787F30" w:rsidRPr="00787F30" w:rsidRDefault="00787F30" w:rsidP="00787F30">
      <w:pPr>
        <w:jc w:val="both"/>
      </w:pPr>
    </w:p>
    <w:p w14:paraId="39C4AED3" w14:textId="77777777" w:rsidR="00787F30" w:rsidRPr="00787F30" w:rsidRDefault="00787F30" w:rsidP="00787F30">
      <w:pPr>
        <w:jc w:val="both"/>
        <w:rPr>
          <w:b/>
          <w:bCs/>
        </w:rPr>
      </w:pPr>
      <w:r w:rsidRPr="00787F30">
        <w:rPr>
          <w:b/>
          <w:bCs/>
        </w:rPr>
        <w:t>5. Implementation and Efficiency</w:t>
      </w:r>
    </w:p>
    <w:p w14:paraId="49739C0F" w14:textId="77777777" w:rsidR="00787F30" w:rsidRPr="00787F30" w:rsidRDefault="00787F30" w:rsidP="00787F30">
      <w:pPr>
        <w:jc w:val="both"/>
        <w:rPr>
          <w:b/>
          <w:bCs/>
        </w:rPr>
      </w:pPr>
      <w:r w:rsidRPr="00787F30">
        <w:rPr>
          <w:b/>
          <w:bCs/>
        </w:rPr>
        <w:t>5.1 Multi-Tier Caching</w:t>
      </w:r>
    </w:p>
    <w:p w14:paraId="7336C942" w14:textId="77777777" w:rsidR="00787F30" w:rsidRPr="00787F30" w:rsidRDefault="00787F30" w:rsidP="00787F30">
      <w:pPr>
        <w:jc w:val="both"/>
      </w:pPr>
      <w:r w:rsidRPr="00787F30">
        <w:t>To achieve production-grade inference speeds, QCST employs:</w:t>
      </w:r>
    </w:p>
    <w:p w14:paraId="17D3D2B4" w14:textId="77777777" w:rsidR="00787F30" w:rsidRPr="00787F30" w:rsidRDefault="00787F30" w:rsidP="00787F30">
      <w:pPr>
        <w:numPr>
          <w:ilvl w:val="0"/>
          <w:numId w:val="11"/>
        </w:numPr>
        <w:jc w:val="both"/>
      </w:pPr>
      <w:r w:rsidRPr="00787F30">
        <w:rPr>
          <w:b/>
          <w:bCs/>
        </w:rPr>
        <w:t>L1 Cache:</w:t>
      </w:r>
      <w:r w:rsidRPr="00787F30">
        <w:t> An in-memory LRU cache for high-frequency (token, context) pairs.</w:t>
      </w:r>
    </w:p>
    <w:p w14:paraId="34470242" w14:textId="77777777" w:rsidR="00787F30" w:rsidRPr="00787F30" w:rsidRDefault="00787F30" w:rsidP="00787F30">
      <w:pPr>
        <w:numPr>
          <w:ilvl w:val="0"/>
          <w:numId w:val="11"/>
        </w:numPr>
        <w:jc w:val="both"/>
      </w:pPr>
      <w:r w:rsidRPr="00787F30">
        <w:rPr>
          <w:b/>
          <w:bCs/>
        </w:rPr>
        <w:t>L2 Cache:</w:t>
      </w:r>
      <w:r w:rsidRPr="00787F30">
        <w:t> A distributed Redis cache shared across inference servers.</w:t>
      </w:r>
    </w:p>
    <w:p w14:paraId="232E60AA" w14:textId="77777777" w:rsidR="00787F30" w:rsidRPr="00787F30" w:rsidRDefault="00787F30" w:rsidP="00787F30">
      <w:pPr>
        <w:jc w:val="both"/>
        <w:rPr>
          <w:b/>
          <w:bCs/>
        </w:rPr>
      </w:pPr>
      <w:r w:rsidRPr="00787F30">
        <w:rPr>
          <w:b/>
          <w:bCs/>
        </w:rPr>
        <w:t>5.2 Selective Activation</w:t>
      </w:r>
    </w:p>
    <w:p w14:paraId="453F268F" w14:textId="77777777" w:rsidR="00787F30" w:rsidRPr="00787F30" w:rsidRDefault="00787F30" w:rsidP="00787F30">
      <w:pPr>
        <w:jc w:val="both"/>
      </w:pPr>
      <w:r w:rsidRPr="00787F30">
        <w:t>Based on preliminary analysis, only 15-25% of tokens (entities, domain terms, polysemous words) require dynamic processing, allowing the remaining 75%+ to use standard static lookups.</w:t>
      </w:r>
    </w:p>
    <w:p w14:paraId="22B71CC2" w14:textId="77777777" w:rsidR="00787F30" w:rsidRPr="00787F30" w:rsidRDefault="00787F30" w:rsidP="00787F30">
      <w:pPr>
        <w:jc w:val="both"/>
      </w:pPr>
      <w:r w:rsidRPr="00787F30">
        <w:pict w14:anchorId="1540E0B3">
          <v:rect id="_x0000_i1085" style="width:730.5pt;height:1.5pt" o:hrpct="0" o:hralign="center" o:hrstd="t" o:hr="t" fillcolor="#a0a0a0" stroked="f"/>
        </w:pict>
      </w:r>
    </w:p>
    <w:p w14:paraId="65D70C06" w14:textId="77777777" w:rsidR="00787F30" w:rsidRPr="00787F30" w:rsidRDefault="00787F30" w:rsidP="00787F30">
      <w:pPr>
        <w:jc w:val="both"/>
        <w:rPr>
          <w:b/>
          <w:bCs/>
        </w:rPr>
      </w:pPr>
      <w:r w:rsidRPr="00787F30">
        <w:rPr>
          <w:b/>
          <w:bCs/>
        </w:rPr>
        <w:lastRenderedPageBreak/>
        <w:t>6. Experimental Design</w:t>
      </w:r>
    </w:p>
    <w:p w14:paraId="05F54250" w14:textId="77777777" w:rsidR="00787F30" w:rsidRPr="00787F30" w:rsidRDefault="00787F30" w:rsidP="00787F30">
      <w:pPr>
        <w:jc w:val="both"/>
        <w:rPr>
          <w:b/>
          <w:bCs/>
        </w:rPr>
      </w:pPr>
      <w:r w:rsidRPr="00787F30">
        <w:rPr>
          <w:b/>
          <w:bCs/>
        </w:rPr>
        <w:t>6.1 Evaluation Framework</w:t>
      </w:r>
    </w:p>
    <w:p w14:paraId="2CFD9B67" w14:textId="77777777" w:rsidR="00787F30" w:rsidRPr="00787F30" w:rsidRDefault="00787F30" w:rsidP="00787F30">
      <w:pPr>
        <w:numPr>
          <w:ilvl w:val="0"/>
          <w:numId w:val="12"/>
        </w:numPr>
        <w:jc w:val="both"/>
      </w:pPr>
      <w:r w:rsidRPr="00787F30">
        <w:rPr>
          <w:b/>
          <w:bCs/>
        </w:rPr>
        <w:t>Semantic Tasks:</w:t>
      </w:r>
      <w:r w:rsidRPr="00787F30">
        <w:t> Word Sense Disambiguation (WSD) and Polysemy Resolution.</w:t>
      </w:r>
    </w:p>
    <w:p w14:paraId="183F9BEE" w14:textId="77777777" w:rsidR="00787F30" w:rsidRPr="00787F30" w:rsidRDefault="00787F30" w:rsidP="00787F30">
      <w:pPr>
        <w:numPr>
          <w:ilvl w:val="0"/>
          <w:numId w:val="12"/>
        </w:numPr>
        <w:jc w:val="both"/>
      </w:pPr>
      <w:r w:rsidRPr="00787F30">
        <w:rPr>
          <w:b/>
          <w:bCs/>
        </w:rPr>
        <w:t>Efficiency:</w:t>
      </w:r>
      <w:r w:rsidRPr="00787F30">
        <w:t> Inference latency (p95/p99) and memory usage overhead.</w:t>
      </w:r>
    </w:p>
    <w:p w14:paraId="5B4DC74F" w14:textId="77777777" w:rsidR="00787F30" w:rsidRPr="00787F30" w:rsidRDefault="00787F30" w:rsidP="00787F30">
      <w:pPr>
        <w:numPr>
          <w:ilvl w:val="0"/>
          <w:numId w:val="12"/>
        </w:numPr>
        <w:jc w:val="both"/>
      </w:pPr>
      <w:r w:rsidRPr="00787F30">
        <w:rPr>
          <w:b/>
          <w:bCs/>
        </w:rPr>
        <w:t>Downstream Performance:</w:t>
      </w:r>
      <w:r w:rsidRPr="00787F30">
        <w:t> GLUE/</w:t>
      </w:r>
      <w:proofErr w:type="spellStart"/>
      <w:r w:rsidRPr="00787F30">
        <w:t>SuperGLUE</w:t>
      </w:r>
      <w:proofErr w:type="spellEnd"/>
      <w:r w:rsidRPr="00787F30">
        <w:t xml:space="preserve"> benchmarks and multimodal VQA tasks.</w:t>
      </w:r>
    </w:p>
    <w:p w14:paraId="51E41756" w14:textId="77777777" w:rsidR="00787F30" w:rsidRPr="00787F30" w:rsidRDefault="00787F30" w:rsidP="00787F30">
      <w:pPr>
        <w:jc w:val="both"/>
        <w:rPr>
          <w:b/>
          <w:bCs/>
        </w:rPr>
      </w:pPr>
      <w:r w:rsidRPr="00787F30">
        <w:rPr>
          <w:b/>
          <w:bCs/>
        </w:rPr>
        <w:t>6.2 Baseline Comparisons</w:t>
      </w:r>
    </w:p>
    <w:p w14:paraId="36601ED3" w14:textId="77777777" w:rsidR="00787F30" w:rsidRPr="00787F30" w:rsidRDefault="00787F30" w:rsidP="00787F30">
      <w:pPr>
        <w:jc w:val="both"/>
      </w:pPr>
      <w:r w:rsidRPr="00787F30">
        <w:t>I compare QCST against standard BPE/</w:t>
      </w:r>
      <w:proofErr w:type="spellStart"/>
      <w:r w:rsidRPr="00787F30">
        <w:t>WordPiece</w:t>
      </w:r>
      <w:proofErr w:type="spellEnd"/>
      <w:r w:rsidRPr="00787F30">
        <w:t xml:space="preserve"> </w:t>
      </w:r>
      <w:r w:rsidRPr="00787F30">
        <w:rPr>
          <w:vertAlign w:val="superscript"/>
        </w:rPr>
        <w:t>[1]</w:t>
      </w:r>
      <w:r w:rsidRPr="00787F30">
        <w:t xml:space="preserve">, </w:t>
      </w:r>
      <w:proofErr w:type="spellStart"/>
      <w:r w:rsidRPr="00787F30">
        <w:t>ELMo</w:t>
      </w:r>
      <w:proofErr w:type="spellEnd"/>
      <w:r w:rsidRPr="00787F30">
        <w:t xml:space="preserve">-style contextual embeddings </w:t>
      </w:r>
      <w:r w:rsidRPr="00787F30">
        <w:rPr>
          <w:vertAlign w:val="superscript"/>
        </w:rPr>
        <w:t>[3]</w:t>
      </w:r>
      <w:r w:rsidRPr="00787F30">
        <w:t xml:space="preserve">, and recent adaptive tokenization methods </w:t>
      </w:r>
      <w:r w:rsidRPr="00787F30">
        <w:rPr>
          <w:vertAlign w:val="superscript"/>
        </w:rPr>
        <w:t>[7]</w:t>
      </w:r>
      <w:r w:rsidRPr="00787F30">
        <w:t>.</w:t>
      </w:r>
    </w:p>
    <w:p w14:paraId="208B63AA" w14:textId="77777777" w:rsidR="00787F30" w:rsidRPr="00787F30" w:rsidRDefault="00787F30" w:rsidP="00787F30">
      <w:pPr>
        <w:jc w:val="both"/>
      </w:pPr>
      <w:r w:rsidRPr="00787F30">
        <w:pict w14:anchorId="74F8E839">
          <v:rect id="_x0000_i1086" style="width:730.5pt;height:1.5pt" o:hrpct="0" o:hralign="center" o:hrstd="t" o:hr="t" fillcolor="#a0a0a0" stroked="f"/>
        </w:pict>
      </w:r>
    </w:p>
    <w:p w14:paraId="1E7B3086" w14:textId="77777777" w:rsidR="00787F30" w:rsidRPr="00787F30" w:rsidRDefault="00787F30" w:rsidP="00787F30">
      <w:pPr>
        <w:jc w:val="both"/>
        <w:rPr>
          <w:b/>
          <w:bCs/>
        </w:rPr>
      </w:pPr>
      <w:r w:rsidRPr="00787F30">
        <w:rPr>
          <w:b/>
          <w:bCs/>
        </w:rPr>
        <w:t>7. Conclusion</w:t>
      </w:r>
    </w:p>
    <w:p w14:paraId="77014E42" w14:textId="77777777" w:rsidR="00787F30" w:rsidRPr="00787F30" w:rsidRDefault="00787F30" w:rsidP="00787F30">
      <w:pPr>
        <w:jc w:val="both"/>
      </w:pPr>
      <w:r w:rsidRPr="00787F30">
        <w:t>QCST addresses the fundamental limitations of static tokenization by selectively applying context-aware representations at the input layer. By reframing tokenization through the lens of operator theory, the framework provides a foundation for next-generation language understanding systems that are inherently multimodal and environment-aware.</w:t>
      </w:r>
    </w:p>
    <w:p w14:paraId="0824220E" w14:textId="77777777" w:rsidR="00787F30" w:rsidRPr="00787F30" w:rsidRDefault="00787F30" w:rsidP="00787F30">
      <w:pPr>
        <w:jc w:val="both"/>
      </w:pPr>
      <w:r w:rsidRPr="00787F30">
        <w:pict w14:anchorId="0BF1D190">
          <v:rect id="_x0000_i1087" style="width:730.5pt;height:1.5pt" o:hrpct="0" o:hralign="center" o:hrstd="t" o:hr="t" fillcolor="#a0a0a0" stroked="f"/>
        </w:pict>
      </w:r>
    </w:p>
    <w:p w14:paraId="6D3B3219" w14:textId="77777777" w:rsidR="00787F30" w:rsidRPr="00787F30" w:rsidRDefault="00787F30" w:rsidP="00787F30">
      <w:pPr>
        <w:jc w:val="both"/>
        <w:rPr>
          <w:b/>
          <w:bCs/>
        </w:rPr>
      </w:pPr>
      <w:r w:rsidRPr="00787F30">
        <w:rPr>
          <w:b/>
          <w:bCs/>
        </w:rPr>
        <w:t>References</w:t>
      </w:r>
    </w:p>
    <w:p w14:paraId="12FDE012" w14:textId="0FAD5836" w:rsidR="00787F30" w:rsidRPr="00787F30" w:rsidRDefault="00787F30" w:rsidP="003C57CC">
      <w:r w:rsidRPr="00787F30">
        <w:t>[</w:t>
      </w:r>
      <w:r w:rsidRPr="00787F30">
        <w:rPr>
          <w:sz w:val="20"/>
          <w:szCs w:val="20"/>
        </w:rPr>
        <w:t xml:space="preserve">1] R. </w:t>
      </w:r>
      <w:proofErr w:type="spellStart"/>
      <w:r w:rsidRPr="00787F30">
        <w:rPr>
          <w:sz w:val="20"/>
          <w:szCs w:val="20"/>
        </w:rPr>
        <w:t>Sennrich</w:t>
      </w:r>
      <w:proofErr w:type="spellEnd"/>
      <w:r w:rsidRPr="00787F30">
        <w:rPr>
          <w:sz w:val="20"/>
          <w:szCs w:val="20"/>
        </w:rPr>
        <w:t xml:space="preserve">, B. Haddow, and A. Birch, "Neural machine translation of rare words with </w:t>
      </w:r>
      <w:proofErr w:type="spellStart"/>
      <w:r w:rsidRPr="00787F30">
        <w:rPr>
          <w:sz w:val="20"/>
          <w:szCs w:val="20"/>
        </w:rPr>
        <w:t>subword</w:t>
      </w:r>
      <w:proofErr w:type="spellEnd"/>
      <w:r w:rsidRPr="00787F30">
        <w:rPr>
          <w:sz w:val="20"/>
          <w:szCs w:val="20"/>
        </w:rPr>
        <w:t xml:space="preserve"> units," in </w:t>
      </w:r>
      <w:r w:rsidRPr="00787F30">
        <w:rPr>
          <w:i/>
          <w:iCs/>
          <w:sz w:val="20"/>
          <w:szCs w:val="20"/>
        </w:rPr>
        <w:t>Proc. ACL</w:t>
      </w:r>
      <w:r w:rsidRPr="00787F30">
        <w:rPr>
          <w:sz w:val="20"/>
          <w:szCs w:val="20"/>
        </w:rPr>
        <w:t>, 2016, pp. 1715–1725.</w:t>
      </w:r>
      <w:r w:rsidRPr="00787F30">
        <w:rPr>
          <w:sz w:val="20"/>
          <w:szCs w:val="20"/>
        </w:rPr>
        <w:br/>
        <w:t>[2] A. Vaswani et al., "Attention is all you need," in </w:t>
      </w:r>
      <w:r w:rsidRPr="00787F30">
        <w:rPr>
          <w:i/>
          <w:iCs/>
          <w:sz w:val="20"/>
          <w:szCs w:val="20"/>
        </w:rPr>
        <w:t>Advances in Neural Information Processing Systems</w:t>
      </w:r>
      <w:r w:rsidRPr="00787F30">
        <w:rPr>
          <w:sz w:val="20"/>
          <w:szCs w:val="20"/>
        </w:rPr>
        <w:t>, 2017.</w:t>
      </w:r>
      <w:r w:rsidRPr="00787F30">
        <w:rPr>
          <w:sz w:val="20"/>
          <w:szCs w:val="20"/>
        </w:rPr>
        <w:br/>
        <w:t>[3] M. E. Peters et al., "Deep contextualized word representations," in </w:t>
      </w:r>
      <w:r w:rsidRPr="00787F30">
        <w:rPr>
          <w:i/>
          <w:iCs/>
          <w:sz w:val="20"/>
          <w:szCs w:val="20"/>
        </w:rPr>
        <w:t>Proc. NAACL</w:t>
      </w:r>
      <w:r w:rsidRPr="00787F30">
        <w:rPr>
          <w:sz w:val="20"/>
          <w:szCs w:val="20"/>
        </w:rPr>
        <w:t>, 2018, pp. 2227–2237.</w:t>
      </w:r>
      <w:r w:rsidRPr="00787F30">
        <w:rPr>
          <w:sz w:val="20"/>
          <w:szCs w:val="20"/>
        </w:rPr>
        <w:br/>
        <w:t>[4] A. Radford et al., "Learning transferable visual models from natural language supervision," in </w:t>
      </w:r>
      <w:r w:rsidRPr="00787F30">
        <w:rPr>
          <w:i/>
          <w:iCs/>
          <w:sz w:val="20"/>
          <w:szCs w:val="20"/>
        </w:rPr>
        <w:t>Proc. ICML</w:t>
      </w:r>
      <w:r w:rsidRPr="00787F30">
        <w:rPr>
          <w:sz w:val="20"/>
          <w:szCs w:val="20"/>
        </w:rPr>
        <w:t>, 2021, pp. 8748–8763.</w:t>
      </w:r>
      <w:r w:rsidRPr="00787F30">
        <w:rPr>
          <w:sz w:val="20"/>
          <w:szCs w:val="20"/>
        </w:rPr>
        <w:br/>
        <w:t>[5] V. Sanh et al., "</w:t>
      </w:r>
      <w:proofErr w:type="spellStart"/>
      <w:r w:rsidRPr="00787F30">
        <w:rPr>
          <w:sz w:val="20"/>
          <w:szCs w:val="20"/>
        </w:rPr>
        <w:t>DistilBERT</w:t>
      </w:r>
      <w:proofErr w:type="spellEnd"/>
      <w:r w:rsidRPr="00787F30">
        <w:rPr>
          <w:sz w:val="20"/>
          <w:szCs w:val="20"/>
        </w:rPr>
        <w:t>, a distilled version of BERT: smaller, faster, cheaper and lighter," </w:t>
      </w:r>
      <w:proofErr w:type="spellStart"/>
      <w:r w:rsidRPr="00787F30">
        <w:rPr>
          <w:i/>
          <w:iCs/>
          <w:sz w:val="20"/>
          <w:szCs w:val="20"/>
        </w:rPr>
        <w:t>arXiv</w:t>
      </w:r>
      <w:proofErr w:type="spellEnd"/>
      <w:r w:rsidRPr="00787F30">
        <w:rPr>
          <w:i/>
          <w:iCs/>
          <w:sz w:val="20"/>
          <w:szCs w:val="20"/>
        </w:rPr>
        <w:t xml:space="preserve"> preprint arXiv:1910.01108</w:t>
      </w:r>
      <w:r w:rsidRPr="00787F30">
        <w:rPr>
          <w:sz w:val="20"/>
          <w:szCs w:val="20"/>
        </w:rPr>
        <w:t>, 2019.</w:t>
      </w:r>
      <w:r w:rsidRPr="00787F30">
        <w:rPr>
          <w:sz w:val="20"/>
          <w:szCs w:val="20"/>
        </w:rPr>
        <w:br/>
        <w:t>[6] T. Kudo and J. Richardson, "</w:t>
      </w:r>
      <w:proofErr w:type="spellStart"/>
      <w:r w:rsidRPr="00787F30">
        <w:rPr>
          <w:sz w:val="20"/>
          <w:szCs w:val="20"/>
        </w:rPr>
        <w:t>SentencePiece</w:t>
      </w:r>
      <w:proofErr w:type="spellEnd"/>
      <w:r w:rsidRPr="00787F30">
        <w:rPr>
          <w:sz w:val="20"/>
          <w:szCs w:val="20"/>
        </w:rPr>
        <w:t xml:space="preserve">: A simple and language independent </w:t>
      </w:r>
      <w:proofErr w:type="spellStart"/>
      <w:r w:rsidRPr="00787F30">
        <w:rPr>
          <w:sz w:val="20"/>
          <w:szCs w:val="20"/>
        </w:rPr>
        <w:t>subword</w:t>
      </w:r>
      <w:proofErr w:type="spellEnd"/>
      <w:r w:rsidRPr="00787F30">
        <w:rPr>
          <w:sz w:val="20"/>
          <w:szCs w:val="20"/>
        </w:rPr>
        <w:t xml:space="preserve"> tokenizer," in </w:t>
      </w:r>
      <w:r w:rsidRPr="00787F30">
        <w:rPr>
          <w:i/>
          <w:iCs/>
          <w:sz w:val="20"/>
          <w:szCs w:val="20"/>
        </w:rPr>
        <w:t>Proc. EMNLP</w:t>
      </w:r>
      <w:r w:rsidRPr="00787F30">
        <w:rPr>
          <w:sz w:val="20"/>
          <w:szCs w:val="20"/>
        </w:rPr>
        <w:t>, 2018, pp. 1–10.</w:t>
      </w:r>
      <w:r w:rsidRPr="00787F30">
        <w:rPr>
          <w:sz w:val="20"/>
          <w:szCs w:val="20"/>
        </w:rPr>
        <w:br/>
        <w:t>[7] P. He et al., "</w:t>
      </w:r>
      <w:proofErr w:type="spellStart"/>
      <w:r w:rsidRPr="00787F30">
        <w:rPr>
          <w:sz w:val="20"/>
          <w:szCs w:val="20"/>
        </w:rPr>
        <w:t>ReGen</w:t>
      </w:r>
      <w:proofErr w:type="spellEnd"/>
      <w:r w:rsidRPr="00787F30">
        <w:rPr>
          <w:sz w:val="20"/>
          <w:szCs w:val="20"/>
        </w:rPr>
        <w:t>: Zero-shot text generation via dynamic token-level mixing," in </w:t>
      </w:r>
      <w:r w:rsidRPr="00787F30">
        <w:rPr>
          <w:i/>
          <w:iCs/>
          <w:sz w:val="20"/>
          <w:szCs w:val="20"/>
        </w:rPr>
        <w:t>Proc. EMNLP</w:t>
      </w:r>
      <w:r w:rsidRPr="00787F30">
        <w:rPr>
          <w:sz w:val="20"/>
          <w:szCs w:val="20"/>
        </w:rPr>
        <w:t>, 2021, pp. 977–987.</w:t>
      </w:r>
    </w:p>
    <w:p w14:paraId="2D20A754" w14:textId="7343E0B9" w:rsidR="001048EB" w:rsidRPr="00787F30" w:rsidRDefault="001048EB" w:rsidP="00787F30">
      <w:pPr>
        <w:jc w:val="both"/>
      </w:pPr>
    </w:p>
    <w:sectPr w:rsidR="001048EB" w:rsidRPr="00787F3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8FA63" w14:textId="77777777" w:rsidR="00196A34" w:rsidRDefault="00196A34" w:rsidP="00787F30">
      <w:pPr>
        <w:spacing w:after="0" w:line="240" w:lineRule="auto"/>
      </w:pPr>
      <w:r>
        <w:separator/>
      </w:r>
    </w:p>
  </w:endnote>
  <w:endnote w:type="continuationSeparator" w:id="0">
    <w:p w14:paraId="3C3806C9" w14:textId="77777777" w:rsidR="00196A34" w:rsidRDefault="00196A34" w:rsidP="00787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F95C6" w14:textId="77777777" w:rsidR="00196A34" w:rsidRDefault="00196A34" w:rsidP="00787F30">
      <w:pPr>
        <w:spacing w:after="0" w:line="240" w:lineRule="auto"/>
      </w:pPr>
      <w:r>
        <w:separator/>
      </w:r>
    </w:p>
  </w:footnote>
  <w:footnote w:type="continuationSeparator" w:id="0">
    <w:p w14:paraId="5959E985" w14:textId="77777777" w:rsidR="00196A34" w:rsidRDefault="00196A34" w:rsidP="00787F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1C6868"/>
    <w:multiLevelType w:val="multilevel"/>
    <w:tmpl w:val="65A6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35315"/>
    <w:multiLevelType w:val="multilevel"/>
    <w:tmpl w:val="2D78A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79620F"/>
    <w:multiLevelType w:val="multilevel"/>
    <w:tmpl w:val="41C8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733475">
    <w:abstractNumId w:val="8"/>
  </w:num>
  <w:num w:numId="2" w16cid:durableId="1804536292">
    <w:abstractNumId w:val="6"/>
  </w:num>
  <w:num w:numId="3" w16cid:durableId="679359267">
    <w:abstractNumId w:val="5"/>
  </w:num>
  <w:num w:numId="4" w16cid:durableId="302588078">
    <w:abstractNumId w:val="4"/>
  </w:num>
  <w:num w:numId="5" w16cid:durableId="901866576">
    <w:abstractNumId w:val="7"/>
  </w:num>
  <w:num w:numId="6" w16cid:durableId="1528369793">
    <w:abstractNumId w:val="3"/>
  </w:num>
  <w:num w:numId="7" w16cid:durableId="1221598133">
    <w:abstractNumId w:val="2"/>
  </w:num>
  <w:num w:numId="8" w16cid:durableId="950555889">
    <w:abstractNumId w:val="1"/>
  </w:num>
  <w:num w:numId="9" w16cid:durableId="669329202">
    <w:abstractNumId w:val="0"/>
  </w:num>
  <w:num w:numId="10" w16cid:durableId="903443803">
    <w:abstractNumId w:val="9"/>
  </w:num>
  <w:num w:numId="11" w16cid:durableId="403572839">
    <w:abstractNumId w:val="10"/>
  </w:num>
  <w:num w:numId="12" w16cid:durableId="18246587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8EB"/>
    <w:rsid w:val="00113174"/>
    <w:rsid w:val="00146319"/>
    <w:rsid w:val="0015074B"/>
    <w:rsid w:val="00196A34"/>
    <w:rsid w:val="0029639D"/>
    <w:rsid w:val="00326F90"/>
    <w:rsid w:val="003C57CC"/>
    <w:rsid w:val="00787F30"/>
    <w:rsid w:val="00A835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47D43A"/>
  <w14:defaultImageDpi w14:val="300"/>
  <w15:docId w15:val="{39758D13-77A9-4FCB-B67D-AE122EB9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87F30"/>
    <w:rPr>
      <w:color w:val="0000FF" w:themeColor="hyperlink"/>
      <w:u w:val="single"/>
    </w:rPr>
  </w:style>
  <w:style w:type="character" w:styleId="UnresolvedMention">
    <w:name w:val="Unresolved Mention"/>
    <w:basedOn w:val="DefaultParagraphFont"/>
    <w:uiPriority w:val="99"/>
    <w:semiHidden/>
    <w:unhideWhenUsed/>
    <w:rsid w:val="00787F30"/>
    <w:rPr>
      <w:color w:val="605E5C"/>
      <w:shd w:val="clear" w:color="auto" w:fill="E1DFDD"/>
    </w:rPr>
  </w:style>
  <w:style w:type="paragraph" w:styleId="FootnoteText">
    <w:name w:val="footnote text"/>
    <w:basedOn w:val="Normal"/>
    <w:link w:val="FootnoteTextChar"/>
    <w:uiPriority w:val="99"/>
    <w:semiHidden/>
    <w:unhideWhenUsed/>
    <w:rsid w:val="00787F3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87F30"/>
    <w:rPr>
      <w:sz w:val="20"/>
      <w:szCs w:val="20"/>
    </w:rPr>
  </w:style>
  <w:style w:type="character" w:styleId="FootnoteReference">
    <w:name w:val="footnote reference"/>
    <w:basedOn w:val="DefaultParagraphFont"/>
    <w:uiPriority w:val="99"/>
    <w:semiHidden/>
    <w:unhideWhenUsed/>
    <w:rsid w:val="00787F3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mailto%3Adr.m.elhelbawi%4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1007</Words>
  <Characters>5744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Mohamed ELhelbawi</cp:lastModifiedBy>
  <cp:revision>4</cp:revision>
  <dcterms:created xsi:type="dcterms:W3CDTF">2013-12-23T23:15:00Z</dcterms:created>
  <dcterms:modified xsi:type="dcterms:W3CDTF">2025-12-20T03:37:00Z</dcterms:modified>
  <cp:category/>
</cp:coreProperties>
</file>