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Documento CONFIDENCIAL</w:t>
      </w:r>
    </w:p>
    <w:p>
      <w:pPr>
        <w:pStyle w:val="Normal"/>
        <w:bidi w:val="0"/>
        <w:jc w:val="start"/>
        <w:rPr/>
      </w:pPr>
      <w:r>
        <w:rPr/>
        <w:t>Funcionário: João da Silva, CPF 529.982.247-25.</w:t>
      </w:r>
    </w:p>
    <w:p>
      <w:pPr>
        <w:pStyle w:val="Normal"/>
        <w:bidi w:val="0"/>
        <w:jc w:val="start"/>
        <w:rPr/>
      </w:pPr>
      <w:r>
        <w:rPr/>
        <w:t>O salário de março foi pago. Ação trabalhista em análise.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Célula 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Célula B senha: abc123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2024-03-01T10:00:00Z</dcterms:created>
  <dc:creator>Joana Autora</dc:creator>
  <dc:description/>
  <dc:language>en-US</dc:language>
  <cp:lastModifiedBy>Marcos Revisor</cp:lastModifiedBy>
  <dcterms:modified xsi:type="dcterms:W3CDTF">2025-06-15T14:30:00Z</dcterms:modified>
  <cp:revision>0</cp:revision>
  <dc:subject/>
  <dc:title>Relatório de Salários</dc:title>
</cp:coreProperties>
</file>