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b/>
          <w:bCs/>
          <w:color w:val="B38335"/>
          <w:sz w:val="26"/>
          <w:szCs w:val="26"/>
        </w:rPr>
        <w:t xml:space="preserve">PLATAFORMA CIDADE IMPERIAL</w:t>
      </w:r>
    </w:p>
    <w:p>
      <w:pPr>
        <w:spacing w:after="80"/>
      </w:pPr>
      <w:r>
        <w:rPr>
          <w:color w:val="6B6459"/>
          <w:sz w:val="20"/>
          <w:szCs w:val="20"/>
        </w:rPr>
        <w:t xml:space="preserve">Cervejaria Cidade Imperial</w:t>
      </w:r>
    </w:p>
    <w:p>
      <w:pPr>
        <w:spacing w:after="120" w:before="200"/>
      </w:pPr>
      <w:r>
        <w:rPr>
          <w:b/>
          <w:bCs/>
          <w:color w:val="272525"/>
          <w:sz w:val="44"/>
          <w:szCs w:val="44"/>
        </w:rPr>
        <w:t xml:space="preserve">Fluxos de aprovação e comunicação por e-mail</w:t>
      </w:r>
    </w:p>
    <w:p>
      <w:pPr>
        <w:spacing w:after="120" w:before="0"/>
      </w:pPr>
      <w:r>
        <w:rPr>
          <w:color w:val="6B6459"/>
          <w:sz w:val="22"/>
          <w:szCs w:val="22"/>
        </w:rPr>
        <w:t xml:space="preserve">Requisito atendido: aprovação de pedido, cotação e resposta de cotação — </w:t>
      </w:r>
      <w:r>
        <w:rPr>
          <w:b/>
          <w:bCs/>
          <w:color w:val="272525"/>
          <w:sz w:val="22"/>
          <w:szCs w:val="22"/>
        </w:rPr>
        <w:t xml:space="preserve">sempre para o processo inteiro ou por item específico</w:t>
      </w:r>
      <w:r>
        <w:rPr>
          <w:color w:val="6B6459"/>
          <w:sz w:val="22"/>
          <w:szCs w:val="22"/>
        </w:rPr>
        <w:t xml:space="preserve">. As comunicações por e-mail passam a conter a lista de itens do processo.</w:t>
      </w:r>
    </w:p>
    <w:p>
      <w:pPr>
        <w:spacing w:before="200"/>
      </w:pPr>
      <w:r>
        <w:rPr>
          <w:i/>
          <w:iCs/>
          <w:color w:val="6B6459"/>
          <w:sz w:val="18"/>
          <w:szCs w:val="18"/>
        </w:rPr>
        <w:t xml:space="preserve">Documento técnico · fluxos, templates e contexto de negócio</w:t>
      </w:r>
    </w:p>
    <w:p>
      <w:pPr>
        <w:pStyle w:val="Heading1"/>
        <w:spacing w:after="140" w:before="240"/>
      </w:pPr>
      <w:r>
        <w:rPr>
          <w:b/>
          <w:bCs/>
          <w:color w:val="272525"/>
        </w:rPr>
        <w:t xml:space="preserve">1. Requisito e conformidade</w:t>
      </w:r>
    </w:p>
    <w:p>
      <w:pPr>
        <w:spacing w:after="120" w:before="0"/>
      </w:pPr>
      <w:r>
        <w:t xml:space="preserve">O sistema permite executar aprovação e decisão tanto para o processo inteiro quanto para itens específicos. A tabela resume onde cada modo acontece na aplicação: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B383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FFFFFF"/>
              </w:rPr>
              <w:t xml:space="preserve">Fluxo</w:t>
            </w:r>
          </w:p>
        </w:tc>
        <w:tc>
          <w:tcPr>
            <w:shd w:fill="B383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FFFFFF"/>
              </w:rPr>
              <w:t xml:space="preserve">Processo inteiro</w:t>
            </w:r>
          </w:p>
        </w:tc>
        <w:tc>
          <w:tcPr>
            <w:shd w:fill="B383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FFFFFF"/>
              </w:rPr>
              <w:t xml:space="preserve">Por item</w:t>
            </w:r>
          </w:p>
        </w:tc>
        <w:tc>
          <w:tcPr>
            <w:shd w:fill="B383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FFFFFF"/>
              </w:rPr>
              <w:t xml:space="preserve">Onde na aplicação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Aprovação de pedido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Lista de Pedidos (botão Aprovar) e Detalhe do pedido (Aprovar por item)</w:t>
            </w:r>
          </w:p>
        </w:tc>
      </w:tr>
      <w:tr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Rejeição de pedido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Idem, com justificativa obrigatória (do pedido ou do item)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Abertura de cotação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Modal "Abrir cotação" › "Itens a cotar (não precisa ser o pedido inteiro)"</w:t>
            </w:r>
          </w:p>
        </w:tc>
      </w:tr>
      <w:tr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Resposta de cotação (proposta)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—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Fornecedor informa "Preço unitário por item"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Decisão de cotação (vencedor)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"Vencedora (todos os itens)" e "Adjudicação por item"</w:t>
            </w:r>
          </w:p>
        </w:tc>
      </w:tr>
      <w:tr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Atendimento (estoque / envio direto)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Modais com seleção de itens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Conclusão: </w:t>
      </w:r>
      <w:r>
        <w:t xml:space="preserve">as rotinas já atendem ao requisito de "inteiro ou por item" em todos os fluxos citados. A correção necessária estava nas comunicações.</w:t>
      </w:r>
    </w:p>
    <w:p>
      <w:pPr>
        <w:pStyle w:val="Heading1"/>
        <w:spacing w:after="140" w:before="240"/>
      </w:pPr>
      <w:r>
        <w:rPr>
          <w:b/>
          <w:bCs/>
          <w:color w:val="272525"/>
        </w:rPr>
        <w:t xml:space="preserve">2. Correção aplicada — itens nas comunicações</w:t>
      </w:r>
    </w:p>
    <w:p>
      <w:pPr>
        <w:spacing w:after="120" w:before="0"/>
      </w:pPr>
      <w:r>
        <w:t xml:space="preserve">Antes, os e-mails traziam apenas a contagem de itens. Agora, cada comunicação de pedido, cotação e faturamento inclui a tabela de itens do processo (código, descrição, quantidade/unidade e valor), coerente com a decisão que foi tomada — inteira ou por item.</w:t>
      </w:r>
    </w:p>
    <w:p>
      <w:pPr>
        <w:spacing w:after="120" w:before="0"/>
      </w:pPr>
      <w:r>
        <w:rPr>
          <w:b/>
          <w:bCs/>
          <w:color w:val="B38335"/>
        </w:rPr>
        <w:t xml:space="preserve">Regra de preço para a revenda: </w:t>
      </w:r>
      <w:r>
        <w:t xml:space="preserve">a revenda nunca vê o preço de catálogo do produto — no catálogo, no carrinho e em "Meus pedidos" os valores aparecem como “sob negociação” ou “a definir”. Ela só passa a ver valores quando a Loja negocia (cotação) ou fatura os itens. Por isso os e-mails à revenda de pedido recebido, aprovado, encaminhado e atendido pelo estoque listam os produtos sem valor.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B383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FFFFFF"/>
              </w:rPr>
              <w:t xml:space="preserve">Fluxo</w:t>
            </w:r>
          </w:p>
        </w:tc>
        <w:tc>
          <w:tcPr>
            <w:shd w:fill="B383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FFFFFF"/>
              </w:rPr>
              <w:t xml:space="preserve">Comunicação</w:t>
            </w:r>
          </w:p>
        </w:tc>
        <w:tc>
          <w:tcPr>
            <w:shd w:fill="B383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FFFFFF"/>
              </w:rPr>
              <w:t xml:space="preserve">Inclui itens?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Pedidos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Novo pedido para aprovação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Pedidos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Confirmação de pedido recebido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Pedidos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Pedido aprovado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Pedidos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Item aprovado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Pedidos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Pedido rejeitado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Pedidos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Item rejeitado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Pedidos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Pedido encaminhado ao fornecedor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Pedidos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Pedido encaminhado (aviso à revenda)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Pedidos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Atendido pelo estoque da Loja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Cotações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Convite para cotação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Cotações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Lembrete de proposta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Cotações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Nova proposta recebida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Cotações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Proposta vencedora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Cotações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Item adjudicado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Cotações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Cotação cancelada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Faturamento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Pedido faturado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Faturamento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Faturamento registrado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Sim</w:t>
            </w:r>
          </w:p>
        </w:tc>
      </w:tr>
      <w:tr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Royalties e Cobrança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Cobrança de royalties</w:t>
            </w:r>
          </w:p>
        </w:tc>
        <w:tc>
          <w:tcPr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Não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Royalties e Cobrança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Pagamento registrado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t xml:space="preserve">Não</w:t>
            </w:r>
          </w:p>
        </w:tc>
      </w:tr>
    </w:tbl>
    <w:p>
      <w:pPr>
        <w:pStyle w:val="Heading1"/>
        <w:spacing w:after="140" w:before="240"/>
      </w:pPr>
      <w:r>
        <w:rPr>
          <w:b/>
          <w:bCs/>
          <w:color w:val="272525"/>
        </w:rPr>
        <w:t xml:space="preserve">3. Fluxos e templates de e-mail</w:t>
      </w:r>
    </w:p>
    <w:p>
      <w:pPr>
        <w:pStyle w:val="Heading2"/>
        <w:spacing w:after="100" w:before="220"/>
      </w:pPr>
      <w:r>
        <w:rPr>
          <w:b/>
          <w:bCs/>
          <w:color w:val="B38335"/>
        </w:rPr>
        <w:t xml:space="preserve">Pedidos</w:t>
      </w:r>
    </w:p>
    <w:p>
      <w:pPr>
        <w:spacing w:after="120" w:before="0"/>
      </w:pPr>
      <w:r>
        <w:rPr>
          <w:color w:val="6B6459"/>
        </w:rPr>
        <w:t xml:space="preserve">Do carrinho da revenda à decisão de atendimento da Loja. A aprovação e a rejeição podem ser do pedido inteiro ou item a item.</w:t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Novo pedido para aprovação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revenda finaliza um pedido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Loja (e-mail interno)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Novo pedido PED-0044 aguardando aprovação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produtos, quantidade/unidade e valor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A Loja é avisada na hora de que há um pedido aguardando análise, com a lista de itens para decidir a aprovação (total ou por item).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Confirmação de pedido recebido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revenda finaliza o pedido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Revenda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Recebemos seu pedido PED-0044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 e quantidades (valor NÃO exibido à revenda)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Confirma ao cliente o recebimento do pedido, listando os itens solicitados.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Pedido aprovado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Loja aprova o pedido (todos os itens)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Revenda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Seu pedido PED-0044 foi aprovado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 e quantidades (valor NÃO exibido à revenda)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Aprovação do processo inteiro: o e-mail lista todos os itens aprovados.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Item aprovado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Loja aprova um item específico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Revenda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Item aprovado no pedido PED-0044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produtos, quantidade/unidade e valor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Aprovação por item: o e-mail identifica o produto aprovado, mesmo quando o restante do pedido segue em análise.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Pedido rejeitado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Loja rejeita o pedido com justificativa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Revenda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Seu pedido PED-0046 foi rejeitado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 e quantidades (valor NÃO exibido à revenda)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Rejeição do processo inteiro: o e-mail traz o motivo e a lista de itens rejeitados.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Item rejeitado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Loja rejeita um item com justificativa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Revenda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Item rejeitado no pedido PED-0044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produtos, quantidade/unidade e valor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Rejeição por item: identifica o produto recusado e o motivo, de forma rastreável.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Pedido encaminhado ao fornecedor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Loja define envio direto (itens selecionados)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Fornecedor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Novo pedido PED-0042 para faturamento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produtos, quantidade/unidade e valor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Só os itens encaminhados àquele fornecedor entram no e-mail — suporta atendimento por item.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Pedido encaminhado (aviso à revenda)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Loja define envio direto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Revenda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Seu pedido PED-0042 foi encaminhado ao fornecedor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 e quantidades (valor NÃO exibido à revenda)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Informa quais itens foram para qual fornecedor.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Atendido pelo estoque da Loja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Loja atende itens com estoque próprio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Revenda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Seu pedido PED-0044 será atendido pela Loja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 e quantidades (valor NÃO exibido à revenda)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Lista os itens que a própria Loja entregará, sem fornecedor.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b/>
          <w:bCs/>
          <w:color w:val="B38335"/>
        </w:rPr>
        <w:t xml:space="preserve">Cotações</w:t>
      </w:r>
    </w:p>
    <w:p>
      <w:pPr>
        <w:spacing w:after="120" w:before="0"/>
      </w:pPr>
      <w:r>
        <w:rPr>
          <w:color w:val="6B6459"/>
        </w:rPr>
        <w:t xml:space="preserve">Processo competitivo de compra. A cotação pode incluir o pedido inteiro ou apenas itens selecionados; a decisão pode ser por vencedor único ou item a item.</w:t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Convite para cotação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Loja abre cotação (itens selecionados)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Fornecedores convidados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Convite para cotação COT-008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produtos, quantidade/unidade e valor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O fornecedor recebe exatamente os itens a cotar e cota o preço por item.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Lembrete de proposta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Loja envia um lembrete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Fornecedor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Lembrete: cotação COT-008 aguarda sua proposta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produtos, quantidade/unidade e valor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Relembra o fornecedor dos itens pendentes de proposta.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Nova proposta recebida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O fornecedor registra a proposta (por item)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Loja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Nova proposta na cotação COT-008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produtos, quantidade/unidade e valor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A Loja recebe o valor por item proposto, base para comparar e adjudicar.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Proposta vencedora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Loja escolhe o vencedor (todos os itens)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Fornecedor vencedor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Sua proposta venceu a cotação COT-007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produtos, quantidade/unidade e valor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Decisão do processo inteiro: o e-mail lista os itens adjudicados ao vencedor.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Item adjudicado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Loja adjudica um item a um fornecedor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Fornecedor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Item adjudicado a você — cotação COT-007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produtos, quantidade/unidade e valor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Decisão por item: cada produto pode ter um vencedor diferente.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Cotação cancelada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Loja cancela a cotação com motivo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Fornecedores convidados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Cotação COT-008 cancelada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produtos, quantidade/unidade e valor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Encerra o processo informando os itens que estavam em cotação.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b/>
          <w:bCs/>
          <w:color w:val="B38335"/>
        </w:rPr>
        <w:t xml:space="preserve">Faturamento</w:t>
      </w:r>
    </w:p>
    <w:p>
      <w:pPr>
        <w:spacing w:after="120" w:before="0"/>
      </w:pPr>
      <w:r>
        <w:rPr>
          <w:color w:val="6B6459"/>
        </w:rPr>
        <w:t xml:space="preserve">O fornecedor fatura diretamente à revenda; o sistema registra a nota, os itens e a base do royalty.</w:t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Pedido faturado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O fornecedor registra o faturamento (NF)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Revenda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Pedido PED-0041 faturado — NF-1207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produtos, quantidade/unidade e valor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Confirma a nota fiscal e lista os itens faturados.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Faturamento registrado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O fornecedor fatura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Loja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Faturamento registrado — NF-1207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Sim — produtos, quantidade/unidade e valor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Registra para a Loja o valor, o royalty e os itens faturados.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b/>
          <w:bCs/>
          <w:color w:val="B38335"/>
        </w:rPr>
        <w:t xml:space="preserve">Royalties e Cobrança</w:t>
      </w:r>
    </w:p>
    <w:p>
      <w:pPr>
        <w:spacing w:after="120" w:before="0"/>
      </w:pPr>
      <w:r>
        <w:rPr>
          <w:color w:val="6B6459"/>
        </w:rPr>
        <w:t xml:space="preserve">A Loja cobra o percentual contratual sobre o faturamento de cada fornecedor. Como é financeiro por competência, não há lista de itens.</w:t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Cobrança de royalties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Loja emite a cobrança da competência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Fornecedor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Cobrança de royalties — competência 06/2026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Não se aplica (financeiro por competência)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Cobrança do percentual sobre o faturamento do período (por competência, não por item).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60" w:before="160"/>
      </w:pPr>
      <w:r>
        <w:rPr>
          <w:b/>
          <w:bCs/>
          <w:color w:val="272525"/>
        </w:rPr>
        <w:t xml:space="preserve">Pagamento registrado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Gatilho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A Loja registra o pagamento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Destinatário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Fornecedor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Assunto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Pagamento de royalties 06/2026 registrado</w:t>
            </w:r>
          </w:p>
        </w:tc>
      </w:tr>
      <w:tr>
        <w:tc>
          <w:tcPr>
            <w:tcW w:type="pct" w:w="26%"/>
            <w:shd w:fill="FA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b/>
                <w:bCs/>
                <w:color w:val="B38335"/>
                <w:sz w:val="18"/>
                <w:szCs w:val="18"/>
              </w:rPr>
              <w:t xml:space="preserve">Itens no e-mail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</w:pPr>
            <w:r>
              <w:rPr>
                <w:sz w:val="20"/>
                <w:szCs w:val="20"/>
              </w:rPr>
              <w:t xml:space="preserve">Não se aplica (financeiro por competência)</w:t>
            </w:r>
          </w:p>
        </w:tc>
      </w:tr>
    </w:tbl>
    <w:p>
      <w:pPr>
        <w:spacing w:after="120" w:before="80"/>
      </w:pPr>
      <w:r>
        <w:rPr>
          <w:b/>
          <w:bCs/>
          <w:color w:val="B38335"/>
          <w:sz w:val="20"/>
          <w:szCs w:val="20"/>
        </w:rPr>
        <w:t xml:space="preserve">Contexto de negócio: </w:t>
      </w:r>
      <w:r>
        <w:rPr>
          <w:sz w:val="20"/>
          <w:szCs w:val="20"/>
        </w:rPr>
        <w:t xml:space="preserve">Confirma a quitação da competência com data e comprovante.</w:t>
      </w:r>
    </w:p>
    <w:p>
      <w:pPr>
        <w:spacing w:after="160" w:before="80"/>
        <w:jc w:val="center"/>
      </w:pPr>
      <w:r>
        <w:drawing>
          <wp:inline distT="0" distB="0" distL="0" distR="0">
            <wp:extent cx="3429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40"/>
      </w:pPr>
      <w:r>
        <w:rPr>
          <w:b/>
          <w:bCs/>
          <w:color w:val="272525"/>
        </w:rPr>
        <w:t xml:space="preserve">4. Como ativar os e-mails</w:t>
      </w:r>
    </w:p>
    <w:p>
      <w:pPr>
        <w:spacing w:after="120" w:before="0"/>
      </w:pPr>
      <w:r>
        <w:t xml:space="preserve">1. Loja › Configurações Técnicas › Configuração de e-mail: informe o servidor SMTP, o remetente e o e-mail interno da Loja.</w:t>
      </w:r>
    </w:p>
    <w:p>
      <w:pPr>
        <w:spacing w:after="120" w:before="0"/>
      </w:pPr>
      <w:r>
        <w:t xml:space="preserve">2. Ative o envio e use "Verificar conexão" e "Enviar e-mail de teste" para validar.</w:t>
      </w:r>
    </w:p>
    <w:p>
      <w:pPr>
        <w:spacing w:after="120" w:before="0"/>
      </w:pPr>
      <w:r>
        <w:t xml:space="preserve">3. A partir daí, cada ação de pedidos, cotações, faturamento e royalties dispara automaticamente o e-mail correspondente, já com os itens do processo.</w:t>
      </w:r>
    </w:p>
    <w:p>
      <w:pPr>
        <w:spacing w:after="120" w:before="0"/>
      </w:pPr>
      <w:r>
        <w:rPr>
          <w:i/>
          <w:iCs/>
          <w:color w:val="6B6459"/>
        </w:rPr>
        <w:t xml:space="preserve">Enquanto o envio permanece desativado, nenhum e-mail é enviado — ideal para homologação.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7252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92d573b723baba0634f9ad3af0e2648ce144dd.png"/><Relationship Id="rId8" Type="http://schemas.openxmlformats.org/officeDocument/2006/relationships/image" Target="media/7b698cc1b773aaae58a596e04ebdf75383cf22ce.png"/><Relationship Id="rId9" Type="http://schemas.openxmlformats.org/officeDocument/2006/relationships/image" Target="media/3da2be1cb20b80017a296241e1ef22b508302551.png"/><Relationship Id="rId10" Type="http://schemas.openxmlformats.org/officeDocument/2006/relationships/image" Target="media/958ea09ceea96deee1612954417200d2d1c97cff.png"/><Relationship Id="rId11" Type="http://schemas.openxmlformats.org/officeDocument/2006/relationships/image" Target="media/9ca9bedfcb77813c8cbe646a22511f1a75b3af24.png"/><Relationship Id="rId12" Type="http://schemas.openxmlformats.org/officeDocument/2006/relationships/image" Target="media/49857246a0164b6ac9d31713990770e72de0e383.png"/><Relationship Id="rId13" Type="http://schemas.openxmlformats.org/officeDocument/2006/relationships/image" Target="media/3dea14d0324f3ecd3d1cd9bfd25d383eec7d0374.png"/><Relationship Id="rId14" Type="http://schemas.openxmlformats.org/officeDocument/2006/relationships/image" Target="media/2c1a290c2ec7a4f8cb7dea63514a565c20c9f44f.png"/><Relationship Id="rId15" Type="http://schemas.openxmlformats.org/officeDocument/2006/relationships/image" Target="media/27111534b3bf81b02b0809f409942c469d6da518.png"/><Relationship Id="rId16" Type="http://schemas.openxmlformats.org/officeDocument/2006/relationships/image" Target="media/c93dd0e90ddfefca68a9d89eaaa3d6092d1ae303.png"/><Relationship Id="rId17" Type="http://schemas.openxmlformats.org/officeDocument/2006/relationships/image" Target="media/1413476a8032d915e34e988939beb3aa5a58d5af.png"/><Relationship Id="rId18" Type="http://schemas.openxmlformats.org/officeDocument/2006/relationships/image" Target="media/6c6b3a317560dced2cc9098e257170f71dbbba54.png"/><Relationship Id="rId19" Type="http://schemas.openxmlformats.org/officeDocument/2006/relationships/image" Target="media/f1880300733e0427d35da428814c8df453b23560.png"/><Relationship Id="rId20" Type="http://schemas.openxmlformats.org/officeDocument/2006/relationships/image" Target="media/eb1977f8de300ecb917314c0ac18efc8df531486.png"/><Relationship Id="rId21" Type="http://schemas.openxmlformats.org/officeDocument/2006/relationships/image" Target="media/ded6b66caa0127024fcda787834e589386de9b91.png"/><Relationship Id="rId22" Type="http://schemas.openxmlformats.org/officeDocument/2006/relationships/image" Target="media/f0f4e46e736ea5fb5009bae0816e7af12040f281.png"/><Relationship Id="rId23" Type="http://schemas.openxmlformats.org/officeDocument/2006/relationships/image" Target="media/dc2450ce2e639b61d4cdacefc66f60ce13cbfc46.png"/><Relationship Id="rId24" Type="http://schemas.openxmlformats.org/officeDocument/2006/relationships/image" Target="media/2f17cb128f0b94b9065f7d352cd2c9fe89a4804f.png"/><Relationship Id="rId25" Type="http://schemas.openxmlformats.org/officeDocument/2006/relationships/image" Target="media/78a0f412498528acfe477cbadb76c7e146447356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Fluxos de aprovação e comunicação por e-mail</dc:title>
  <dc:creator>Plataforma Cidade Imperial</dc:creator>
  <cp:lastModifiedBy>Un-named</cp:lastModifiedBy>
  <cp:revision>1</cp:revision>
  <dcterms:created xsi:type="dcterms:W3CDTF">2026-07-10T00:46:41.853Z</dcterms:created>
  <dcterms:modified xsi:type="dcterms:W3CDTF">2026-07-10T00:46:41.853Z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