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/>
      </w:pPr>
      <w:r>
        <w:rPr>
          <w:b/>
          <w:bCs/>
          <w:color w:val="B38335"/>
          <w:sz w:val="26"/>
          <w:szCs w:val="26"/>
        </w:rPr>
        <w:t xml:space="preserve">PLATAFORMA CIDADE IMPERIAL</w:t>
      </w:r>
    </w:p>
    <w:p>
      <w:pPr>
        <w:spacing w:after="80"/>
      </w:pPr>
      <w:r>
        <w:rPr>
          <w:color w:val="6B6459"/>
          <w:sz w:val="20"/>
          <w:szCs w:val="20"/>
        </w:rPr>
        <w:t xml:space="preserve">Cervejaria Cidade Imperial</w:t>
      </w:r>
    </w:p>
    <w:p>
      <w:pPr>
        <w:spacing w:after="120" w:before="200"/>
      </w:pPr>
      <w:r>
        <w:rPr>
          <w:b/>
          <w:bCs/>
          <w:color w:val="272525"/>
          <w:sz w:val="44"/>
          <w:szCs w:val="44"/>
        </w:rPr>
        <w:t xml:space="preserve">Fluxos de aprovação e comunicação por e-mail</w:t>
      </w:r>
    </w:p>
    <w:p>
      <w:pPr>
        <w:spacing w:after="120" w:before="0"/>
      </w:pPr>
      <w:r>
        <w:rPr>
          <w:color w:val="6B6459"/>
          <w:sz w:val="22"/>
          <w:szCs w:val="22"/>
        </w:rPr>
        <w:t xml:space="preserve">Requisito atendido: aprovação de pedido, cotação e resposta de cotação — </w:t>
      </w:r>
      <w:r>
        <w:rPr>
          <w:b/>
          <w:bCs/>
          <w:color w:val="272525"/>
          <w:sz w:val="22"/>
          <w:szCs w:val="22"/>
        </w:rPr>
        <w:t xml:space="preserve">sempre para o processo inteiro ou por item específico</w:t>
      </w:r>
      <w:r>
        <w:rPr>
          <w:color w:val="6B6459"/>
          <w:sz w:val="22"/>
          <w:szCs w:val="22"/>
        </w:rPr>
        <w:t xml:space="preserve">. As comunicações por e-mail passam a conter a lista de itens do processo.</w:t>
      </w:r>
    </w:p>
    <w:p>
      <w:pPr>
        <w:spacing w:before="200"/>
      </w:pPr>
      <w:r>
        <w:rPr>
          <w:i/>
          <w:iCs/>
          <w:color w:val="6B6459"/>
          <w:sz w:val="18"/>
          <w:szCs w:val="18"/>
        </w:rPr>
        <w:t xml:space="preserve">Documento técnico · fluxos, templates e contexto de negócio</w:t>
      </w:r>
    </w:p>
    <w:p>
      <w:pPr>
        <w:pStyle w:val="Heading1"/>
        <w:spacing w:after="140" w:before="240"/>
      </w:pPr>
      <w:r>
        <w:rPr>
          <w:b/>
          <w:bCs/>
          <w:color w:val="272525"/>
        </w:rPr>
        <w:t xml:space="preserve">1. Requisito e conformidade</w:t>
      </w:r>
    </w:p>
    <w:p>
      <w:pPr>
        <w:spacing w:after="120" w:before="0"/>
      </w:pPr>
      <w:r>
        <w:t xml:space="preserve">O sistema permite executar aprovação e decisão tanto para o processo inteiro quanto para itens específicos. A tabela resume onde cada modo acontece na aplicação: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B3833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FFFFFF"/>
              </w:rPr>
              <w:t xml:space="preserve">Fluxo</w:t>
            </w:r>
          </w:p>
        </w:tc>
        <w:tc>
          <w:tcPr>
            <w:shd w:fill="B3833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FFFFFF"/>
              </w:rPr>
              <w:t xml:space="preserve">Processo inteiro</w:t>
            </w:r>
          </w:p>
        </w:tc>
        <w:tc>
          <w:tcPr>
            <w:shd w:fill="B3833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FFFFFF"/>
              </w:rPr>
              <w:t xml:space="preserve">Por item</w:t>
            </w:r>
          </w:p>
        </w:tc>
        <w:tc>
          <w:tcPr>
            <w:shd w:fill="B3833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FFFFFF"/>
              </w:rPr>
              <w:t xml:space="preserve">Onde na aplicação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Aprovação de pedido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Sim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Sim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Lista de Pedidos (botão Aprovar) e Detalhe do pedido (Aprovar por item)</w:t>
            </w:r>
          </w:p>
        </w:tc>
      </w:tr>
      <w:tr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Rejeição de pedido</w:t>
            </w:r>
          </w:p>
        </w:tc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Sim</w:t>
            </w:r>
          </w:p>
        </w:tc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Sim</w:t>
            </w:r>
          </w:p>
        </w:tc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Idem, com justificativa obrigatória (do pedido ou do item)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Abertura de cotação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Sim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Sim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Modal "Abrir cotação" › "Itens a cotar (não precisa ser o pedido inteiro)"</w:t>
            </w:r>
          </w:p>
        </w:tc>
      </w:tr>
      <w:tr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Resposta de cotação (proposta)</w:t>
            </w:r>
          </w:p>
        </w:tc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—</w:t>
            </w:r>
          </w:p>
        </w:tc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Sim</w:t>
            </w:r>
          </w:p>
        </w:tc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Fornecedor informa "Preço unitário por item"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Decisão de cotação (vencedor)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Sim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Sim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"Vencedora (todos os itens)" e "Adjudicação por item"</w:t>
            </w:r>
          </w:p>
        </w:tc>
      </w:tr>
      <w:tr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Atendimento (estoque / envio direto)</w:t>
            </w:r>
          </w:p>
        </w:tc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Sim</w:t>
            </w:r>
          </w:p>
        </w:tc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Sim</w:t>
            </w:r>
          </w:p>
        </w:tc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Modais com seleção de itens</w:t>
            </w:r>
          </w:p>
        </w:tc>
      </w:tr>
    </w:tbl>
    <w:p>
      <w:pPr>
        <w:spacing w:after="120" w:before="80"/>
      </w:pPr>
      <w:r>
        <w:rPr>
          <w:b/>
          <w:bCs/>
        </w:rPr>
        <w:t xml:space="preserve">Conclusão: </w:t>
      </w:r>
      <w:r>
        <w:t xml:space="preserve">as rotinas já atendem ao requisito de "inteiro ou por item" em todos os fluxos citados. A correção necessária estava nas comunicações.</w:t>
      </w:r>
    </w:p>
    <w:p>
      <w:pPr>
        <w:pStyle w:val="Heading1"/>
        <w:spacing w:after="140" w:before="240"/>
      </w:pPr>
      <w:r>
        <w:rPr>
          <w:b/>
          <w:bCs/>
          <w:color w:val="272525"/>
        </w:rPr>
        <w:t xml:space="preserve">2. Correção aplicada — itens nas comunicações</w:t>
      </w:r>
    </w:p>
    <w:p>
      <w:pPr>
        <w:spacing w:after="120" w:before="0"/>
      </w:pPr>
      <w:r>
        <w:t xml:space="preserve">Antes, os e-mails traziam apenas a contagem de itens. Agora, cada comunicação de pedido, cotação e faturamento inclui a tabela de itens do processo (código, descrição, quantidade/unidade e valor), coerente com a decisão que foi tomada — inteira ou por item.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B3833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FFFFFF"/>
              </w:rPr>
              <w:t xml:space="preserve">Fluxo</w:t>
            </w:r>
          </w:p>
        </w:tc>
        <w:tc>
          <w:tcPr>
            <w:shd w:fill="B3833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FFFFFF"/>
              </w:rPr>
              <w:t xml:space="preserve">Comunicação</w:t>
            </w:r>
          </w:p>
        </w:tc>
        <w:tc>
          <w:tcPr>
            <w:shd w:fill="B3833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FFFFFF"/>
              </w:rPr>
              <w:t xml:space="preserve">Inclui itens?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Pedidos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Novo pedido para aprovação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Sim</w:t>
            </w:r>
          </w:p>
        </w:tc>
      </w:tr>
      <w:tr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Pedidos</w:t>
            </w:r>
          </w:p>
        </w:tc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Confirmação de pedido recebido</w:t>
            </w:r>
          </w:p>
        </w:tc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Sim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Pedidos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Pedido aprovado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Sim</w:t>
            </w:r>
          </w:p>
        </w:tc>
      </w:tr>
      <w:tr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Pedidos</w:t>
            </w:r>
          </w:p>
        </w:tc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Item aprovado</w:t>
            </w:r>
          </w:p>
        </w:tc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Sim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Pedidos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Pedido rejeitado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Sim</w:t>
            </w:r>
          </w:p>
        </w:tc>
      </w:tr>
      <w:tr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Pedidos</w:t>
            </w:r>
          </w:p>
        </w:tc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Item rejeitado</w:t>
            </w:r>
          </w:p>
        </w:tc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Sim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Pedidos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Pedido encaminhado ao fornecedor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Sim</w:t>
            </w:r>
          </w:p>
        </w:tc>
      </w:tr>
      <w:tr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Pedidos</w:t>
            </w:r>
          </w:p>
        </w:tc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Pedido encaminhado (aviso à revenda)</w:t>
            </w:r>
          </w:p>
        </w:tc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Sim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Pedidos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Atendido pelo estoque da Loja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Sim</w:t>
            </w:r>
          </w:p>
        </w:tc>
      </w:tr>
      <w:tr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Cotações</w:t>
            </w:r>
          </w:p>
        </w:tc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Convite para cotação</w:t>
            </w:r>
          </w:p>
        </w:tc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Sim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Cotações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Lembrete de proposta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Sim</w:t>
            </w:r>
          </w:p>
        </w:tc>
      </w:tr>
      <w:tr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Cotações</w:t>
            </w:r>
          </w:p>
        </w:tc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Nova proposta recebida</w:t>
            </w:r>
          </w:p>
        </w:tc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Sim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Cotações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Proposta vencedora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Sim</w:t>
            </w:r>
          </w:p>
        </w:tc>
      </w:tr>
      <w:tr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Cotações</w:t>
            </w:r>
          </w:p>
        </w:tc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Item adjudicado</w:t>
            </w:r>
          </w:p>
        </w:tc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Sim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Cotações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Cotação cancelada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Sim</w:t>
            </w:r>
          </w:p>
        </w:tc>
      </w:tr>
      <w:tr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Faturamento</w:t>
            </w:r>
          </w:p>
        </w:tc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Pedido faturado</w:t>
            </w:r>
          </w:p>
        </w:tc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Sim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Faturamento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Faturamento registrado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Sim</w:t>
            </w:r>
          </w:p>
        </w:tc>
      </w:tr>
      <w:tr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Royalties e Cobrança</w:t>
            </w:r>
          </w:p>
        </w:tc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Cobrança de royalties</w:t>
            </w:r>
          </w:p>
        </w:tc>
        <w:tc>
          <w:tcPr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Não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Royalties e Cobrança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Pagamento registrado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t xml:space="preserve">Não</w:t>
            </w:r>
          </w:p>
        </w:tc>
      </w:tr>
    </w:tbl>
    <w:p>
      <w:pPr>
        <w:pStyle w:val="Heading1"/>
        <w:spacing w:after="140" w:before="240"/>
      </w:pPr>
      <w:r>
        <w:rPr>
          <w:b/>
          <w:bCs/>
          <w:color w:val="272525"/>
        </w:rPr>
        <w:t xml:space="preserve">3. Fluxos e templates de e-mail</w:t>
      </w:r>
    </w:p>
    <w:p>
      <w:pPr>
        <w:pStyle w:val="Heading2"/>
        <w:spacing w:after="100" w:before="220"/>
      </w:pPr>
      <w:r>
        <w:rPr>
          <w:b/>
          <w:bCs/>
          <w:color w:val="B38335"/>
        </w:rPr>
        <w:t xml:space="preserve">Pedidos</w:t>
      </w:r>
    </w:p>
    <w:p>
      <w:pPr>
        <w:spacing w:after="120" w:before="0"/>
      </w:pPr>
      <w:r>
        <w:rPr>
          <w:color w:val="6B6459"/>
        </w:rPr>
        <w:t xml:space="preserve">Do carrinho da revenda à decisão de atendimento da Loja. A aprovação e a rejeição podem ser do pedido inteiro ou item a item.</w:t>
      </w:r>
    </w:p>
    <w:p>
      <w:pPr>
        <w:pStyle w:val="Heading3"/>
        <w:spacing w:after="60" w:before="160"/>
      </w:pPr>
      <w:r>
        <w:rPr>
          <w:b/>
          <w:bCs/>
          <w:color w:val="272525"/>
        </w:rPr>
        <w:t xml:space="preserve">Novo pedido para aprovação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Gatilho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A revenda finaliza um pedido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Destinatário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Loja (e-mail interno)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Assunto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Novo pedido PED-0044 aguardando aprovação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Itens no e-mail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Sim — lista de produtos, quantidade/unidade e valor</w:t>
            </w:r>
          </w:p>
        </w:tc>
      </w:tr>
    </w:tbl>
    <w:p>
      <w:pPr>
        <w:spacing w:after="120" w:before="80"/>
      </w:pPr>
      <w:r>
        <w:rPr>
          <w:b/>
          <w:bCs/>
          <w:color w:val="B38335"/>
          <w:sz w:val="20"/>
          <w:szCs w:val="20"/>
        </w:rPr>
        <w:t xml:space="preserve">Contexto de negócio: </w:t>
      </w:r>
      <w:r>
        <w:rPr>
          <w:sz w:val="20"/>
          <w:szCs w:val="20"/>
        </w:rPr>
        <w:t xml:space="preserve">A Loja é avisada na hora de que há um pedido aguardando análise, com a lista de itens para decidir a aprovação (total ou por item).</w:t>
      </w:r>
    </w:p>
    <w:p>
      <w:pPr>
        <w:spacing w:after="160" w:before="80"/>
        <w:jc w:val="center"/>
      </w:pPr>
      <w:r>
        <w:drawing>
          <wp:inline distT="0" distB="0" distL="0" distR="0">
            <wp:extent cx="3429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60" w:before="160"/>
      </w:pPr>
      <w:r>
        <w:rPr>
          <w:b/>
          <w:bCs/>
          <w:color w:val="272525"/>
        </w:rPr>
        <w:t xml:space="preserve">Confirmação de pedido recebido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Gatilho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A revenda finaliza o pedido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Destinatário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Revenda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Assunto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Recebemos seu pedido PED-0044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Itens no e-mail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Sim — lista de produtos, quantidade/unidade e valor</w:t>
            </w:r>
          </w:p>
        </w:tc>
      </w:tr>
    </w:tbl>
    <w:p>
      <w:pPr>
        <w:spacing w:after="120" w:before="80"/>
      </w:pPr>
      <w:r>
        <w:rPr>
          <w:b/>
          <w:bCs/>
          <w:color w:val="B38335"/>
          <w:sz w:val="20"/>
          <w:szCs w:val="20"/>
        </w:rPr>
        <w:t xml:space="preserve">Contexto de negócio: </w:t>
      </w:r>
      <w:r>
        <w:rPr>
          <w:sz w:val="20"/>
          <w:szCs w:val="20"/>
        </w:rPr>
        <w:t xml:space="preserve">Confirma ao cliente o recebimento do pedido, listando os itens solicitados.</w:t>
      </w:r>
    </w:p>
    <w:p>
      <w:pPr>
        <w:spacing w:after="160" w:before="80"/>
        <w:jc w:val="center"/>
      </w:pPr>
      <w:r>
        <w:drawing>
          <wp:inline distT="0" distB="0" distL="0" distR="0">
            <wp:extent cx="3429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60" w:before="160"/>
      </w:pPr>
      <w:r>
        <w:rPr>
          <w:b/>
          <w:bCs/>
          <w:color w:val="272525"/>
        </w:rPr>
        <w:t xml:space="preserve">Pedido aprovado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Gatilho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A Loja aprova o pedido (todos os itens)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Destinatário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Revenda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Assunto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Seu pedido PED-0044 foi aprovado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Itens no e-mail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Sim — lista de produtos, quantidade/unidade e valor</w:t>
            </w:r>
          </w:p>
        </w:tc>
      </w:tr>
    </w:tbl>
    <w:p>
      <w:pPr>
        <w:spacing w:after="120" w:before="80"/>
      </w:pPr>
      <w:r>
        <w:rPr>
          <w:b/>
          <w:bCs/>
          <w:color w:val="B38335"/>
          <w:sz w:val="20"/>
          <w:szCs w:val="20"/>
        </w:rPr>
        <w:t xml:space="preserve">Contexto de negócio: </w:t>
      </w:r>
      <w:r>
        <w:rPr>
          <w:sz w:val="20"/>
          <w:szCs w:val="20"/>
        </w:rPr>
        <w:t xml:space="preserve">Aprovação do processo inteiro: o e-mail lista todos os itens aprovados.</w:t>
      </w:r>
    </w:p>
    <w:p>
      <w:pPr>
        <w:spacing w:after="160" w:before="80"/>
        <w:jc w:val="center"/>
      </w:pPr>
      <w:r>
        <w:drawing>
          <wp:inline distT="0" distB="0" distL="0" distR="0">
            <wp:extent cx="34290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60" w:before="160"/>
      </w:pPr>
      <w:r>
        <w:rPr>
          <w:b/>
          <w:bCs/>
          <w:color w:val="272525"/>
        </w:rPr>
        <w:t xml:space="preserve">Item aprovado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Gatilho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A Loja aprova um item específico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Destinatário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Revenda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Assunto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Item aprovado no pedido PED-0044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Itens no e-mail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Sim — lista de produtos, quantidade/unidade e valor</w:t>
            </w:r>
          </w:p>
        </w:tc>
      </w:tr>
    </w:tbl>
    <w:p>
      <w:pPr>
        <w:spacing w:after="120" w:before="80"/>
      </w:pPr>
      <w:r>
        <w:rPr>
          <w:b/>
          <w:bCs/>
          <w:color w:val="B38335"/>
          <w:sz w:val="20"/>
          <w:szCs w:val="20"/>
        </w:rPr>
        <w:t xml:space="preserve">Contexto de negócio: </w:t>
      </w:r>
      <w:r>
        <w:rPr>
          <w:sz w:val="20"/>
          <w:szCs w:val="20"/>
        </w:rPr>
        <w:t xml:space="preserve">Aprovação por item: o e-mail identifica o produto aprovado, mesmo quando o restante do pedido segue em análise.</w:t>
      </w:r>
    </w:p>
    <w:p>
      <w:pPr>
        <w:spacing w:after="160" w:before="80"/>
        <w:jc w:val="center"/>
      </w:pPr>
      <w:r>
        <w:drawing>
          <wp:inline distT="0" distB="0" distL="0" distR="0">
            <wp:extent cx="3429000" cy="185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60" w:before="160"/>
      </w:pPr>
      <w:r>
        <w:rPr>
          <w:b/>
          <w:bCs/>
          <w:color w:val="272525"/>
        </w:rPr>
        <w:t xml:space="preserve">Pedido rejeitado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Gatilho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A Loja rejeita o pedido com justificativa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Destinatário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Revenda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Assunto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Seu pedido PED-0046 foi rejeitado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Itens no e-mail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Sim — lista de produtos, quantidade/unidade e valor</w:t>
            </w:r>
          </w:p>
        </w:tc>
      </w:tr>
    </w:tbl>
    <w:p>
      <w:pPr>
        <w:spacing w:after="120" w:before="80"/>
      </w:pPr>
      <w:r>
        <w:rPr>
          <w:b/>
          <w:bCs/>
          <w:color w:val="B38335"/>
          <w:sz w:val="20"/>
          <w:szCs w:val="20"/>
        </w:rPr>
        <w:t xml:space="preserve">Contexto de negócio: </w:t>
      </w:r>
      <w:r>
        <w:rPr>
          <w:sz w:val="20"/>
          <w:szCs w:val="20"/>
        </w:rPr>
        <w:t xml:space="preserve">Rejeição do processo inteiro: o e-mail traz o motivo e a lista de itens rejeitados.</w:t>
      </w:r>
    </w:p>
    <w:p>
      <w:pPr>
        <w:spacing w:after="160" w:before="80"/>
        <w:jc w:val="center"/>
      </w:pPr>
      <w:r>
        <w:drawing>
          <wp:inline distT="0" distB="0" distL="0" distR="0">
            <wp:extent cx="3429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60" w:before="160"/>
      </w:pPr>
      <w:r>
        <w:rPr>
          <w:b/>
          <w:bCs/>
          <w:color w:val="272525"/>
        </w:rPr>
        <w:t xml:space="preserve">Item rejeitado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Gatilho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A Loja rejeita um item com justificativa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Destinatário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Revenda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Assunto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Item rejeitado no pedido PED-0044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Itens no e-mail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Sim — lista de produtos, quantidade/unidade e valor</w:t>
            </w:r>
          </w:p>
        </w:tc>
      </w:tr>
    </w:tbl>
    <w:p>
      <w:pPr>
        <w:spacing w:after="120" w:before="80"/>
      </w:pPr>
      <w:r>
        <w:rPr>
          <w:b/>
          <w:bCs/>
          <w:color w:val="B38335"/>
          <w:sz w:val="20"/>
          <w:szCs w:val="20"/>
        </w:rPr>
        <w:t xml:space="preserve">Contexto de negócio: </w:t>
      </w:r>
      <w:r>
        <w:rPr>
          <w:sz w:val="20"/>
          <w:szCs w:val="20"/>
        </w:rPr>
        <w:t xml:space="preserve">Rejeição por item: identifica o produto recusado e o motivo, de forma rastreável.</w:t>
      </w:r>
    </w:p>
    <w:p>
      <w:pPr>
        <w:spacing w:after="160" w:before="80"/>
        <w:jc w:val="center"/>
      </w:pPr>
      <w:r>
        <w:drawing>
          <wp:inline distT="0" distB="0" distL="0" distR="0">
            <wp:extent cx="3429000" cy="2114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60" w:before="160"/>
      </w:pPr>
      <w:r>
        <w:rPr>
          <w:b/>
          <w:bCs/>
          <w:color w:val="272525"/>
        </w:rPr>
        <w:t xml:space="preserve">Pedido encaminhado ao fornecedor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Gatilho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A Loja define envio direto (itens selecionados)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Destinatário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Fornecedor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Assunto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Novo pedido PED-0042 para faturamento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Itens no e-mail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Sim — lista de produtos, quantidade/unidade e valor</w:t>
            </w:r>
          </w:p>
        </w:tc>
      </w:tr>
    </w:tbl>
    <w:p>
      <w:pPr>
        <w:spacing w:after="120" w:before="80"/>
      </w:pPr>
      <w:r>
        <w:rPr>
          <w:b/>
          <w:bCs/>
          <w:color w:val="B38335"/>
          <w:sz w:val="20"/>
          <w:szCs w:val="20"/>
        </w:rPr>
        <w:t xml:space="preserve">Contexto de negócio: </w:t>
      </w:r>
      <w:r>
        <w:rPr>
          <w:sz w:val="20"/>
          <w:szCs w:val="20"/>
        </w:rPr>
        <w:t xml:space="preserve">Só os itens encaminhados àquele fornecedor entram no e-mail — suporta atendimento por item.</w:t>
      </w:r>
    </w:p>
    <w:p>
      <w:pPr>
        <w:spacing w:after="160" w:before="80"/>
        <w:jc w:val="center"/>
      </w:pPr>
      <w:r>
        <w:drawing>
          <wp:inline distT="0" distB="0" distL="0" distR="0">
            <wp:extent cx="34290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60" w:before="160"/>
      </w:pPr>
      <w:r>
        <w:rPr>
          <w:b/>
          <w:bCs/>
          <w:color w:val="272525"/>
        </w:rPr>
        <w:t xml:space="preserve">Pedido encaminhado (aviso à revenda)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Gatilho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A Loja define envio direto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Destinatário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Revenda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Assunto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Seu pedido PED-0042 foi encaminhado ao fornecedor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Itens no e-mail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Sim — lista de produtos, quantidade/unidade e valor</w:t>
            </w:r>
          </w:p>
        </w:tc>
      </w:tr>
    </w:tbl>
    <w:p>
      <w:pPr>
        <w:spacing w:after="120" w:before="80"/>
      </w:pPr>
      <w:r>
        <w:rPr>
          <w:b/>
          <w:bCs/>
          <w:color w:val="B38335"/>
          <w:sz w:val="20"/>
          <w:szCs w:val="20"/>
        </w:rPr>
        <w:t xml:space="preserve">Contexto de negócio: </w:t>
      </w:r>
      <w:r>
        <w:rPr>
          <w:sz w:val="20"/>
          <w:szCs w:val="20"/>
        </w:rPr>
        <w:t xml:space="preserve">Informa quais itens foram para qual fornecedor.</w:t>
      </w:r>
    </w:p>
    <w:p>
      <w:pPr>
        <w:spacing w:after="160" w:before="80"/>
        <w:jc w:val="center"/>
      </w:pPr>
      <w:r>
        <w:drawing>
          <wp:inline distT="0" distB="0" distL="0" distR="0">
            <wp:extent cx="3429000" cy="2590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60" w:before="160"/>
      </w:pPr>
      <w:r>
        <w:rPr>
          <w:b/>
          <w:bCs/>
          <w:color w:val="272525"/>
        </w:rPr>
        <w:t xml:space="preserve">Atendido pelo estoque da Loja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Gatilho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A Loja atende itens com estoque próprio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Destinatário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Revenda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Assunto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Seu pedido PED-0044 será atendido pela Loja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Itens no e-mail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Sim — lista de produtos, quantidade/unidade e valor</w:t>
            </w:r>
          </w:p>
        </w:tc>
      </w:tr>
    </w:tbl>
    <w:p>
      <w:pPr>
        <w:spacing w:after="120" w:before="80"/>
      </w:pPr>
      <w:r>
        <w:rPr>
          <w:b/>
          <w:bCs/>
          <w:color w:val="B38335"/>
          <w:sz w:val="20"/>
          <w:szCs w:val="20"/>
        </w:rPr>
        <w:t xml:space="preserve">Contexto de negócio: </w:t>
      </w:r>
      <w:r>
        <w:rPr>
          <w:sz w:val="20"/>
          <w:szCs w:val="20"/>
        </w:rPr>
        <w:t xml:space="preserve">Lista os itens que a própria Loja entregará, sem fornecedor.</w:t>
      </w:r>
    </w:p>
    <w:p>
      <w:pPr>
        <w:spacing w:after="160" w:before="80"/>
        <w:jc w:val="center"/>
      </w:pPr>
      <w:r>
        <w:drawing>
          <wp:inline distT="0" distB="0" distL="0" distR="0">
            <wp:extent cx="3429000" cy="2590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b/>
          <w:bCs/>
          <w:color w:val="B38335"/>
        </w:rPr>
        <w:t xml:space="preserve">Cotações</w:t>
      </w:r>
    </w:p>
    <w:p>
      <w:pPr>
        <w:spacing w:after="120" w:before="0"/>
      </w:pPr>
      <w:r>
        <w:rPr>
          <w:color w:val="6B6459"/>
        </w:rPr>
        <w:t xml:space="preserve">Processo competitivo de compra. A cotação pode incluir o pedido inteiro ou apenas itens selecionados; a decisão pode ser por vencedor único ou item a item.</w:t>
      </w:r>
    </w:p>
    <w:p>
      <w:pPr>
        <w:pStyle w:val="Heading3"/>
        <w:spacing w:after="60" w:before="160"/>
      </w:pPr>
      <w:r>
        <w:rPr>
          <w:b/>
          <w:bCs/>
          <w:color w:val="272525"/>
        </w:rPr>
        <w:t xml:space="preserve">Convite para cotação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Gatilho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A Loja abre cotação (itens selecionados)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Destinatário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Fornecedores convidados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Assunto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Convite para cotação COT-008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Itens no e-mail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Sim — lista de produtos, quantidade/unidade e valor</w:t>
            </w:r>
          </w:p>
        </w:tc>
      </w:tr>
    </w:tbl>
    <w:p>
      <w:pPr>
        <w:spacing w:after="120" w:before="80"/>
      </w:pPr>
      <w:r>
        <w:rPr>
          <w:b/>
          <w:bCs/>
          <w:color w:val="B38335"/>
          <w:sz w:val="20"/>
          <w:szCs w:val="20"/>
        </w:rPr>
        <w:t xml:space="preserve">Contexto de negócio: </w:t>
      </w:r>
      <w:r>
        <w:rPr>
          <w:sz w:val="20"/>
          <w:szCs w:val="20"/>
        </w:rPr>
        <w:t xml:space="preserve">O fornecedor recebe exatamente os itens a cotar e cota o preço por item.</w:t>
      </w:r>
    </w:p>
    <w:p>
      <w:pPr>
        <w:spacing w:after="160" w:before="80"/>
        <w:jc w:val="center"/>
      </w:pPr>
      <w:r>
        <w:drawing>
          <wp:inline distT="0" distB="0" distL="0" distR="0">
            <wp:extent cx="34290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60" w:before="160"/>
      </w:pPr>
      <w:r>
        <w:rPr>
          <w:b/>
          <w:bCs/>
          <w:color w:val="272525"/>
        </w:rPr>
        <w:t xml:space="preserve">Lembrete de proposta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Gatilho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A Loja envia um lembrete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Destinatário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Fornecedor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Assunto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Lembrete: cotação COT-008 aguarda sua proposta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Itens no e-mail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Sim — lista de produtos, quantidade/unidade e valor</w:t>
            </w:r>
          </w:p>
        </w:tc>
      </w:tr>
    </w:tbl>
    <w:p>
      <w:pPr>
        <w:spacing w:after="120" w:before="80"/>
      </w:pPr>
      <w:r>
        <w:rPr>
          <w:b/>
          <w:bCs/>
          <w:color w:val="B38335"/>
          <w:sz w:val="20"/>
          <w:szCs w:val="20"/>
        </w:rPr>
        <w:t xml:space="preserve">Contexto de negócio: </w:t>
      </w:r>
      <w:r>
        <w:rPr>
          <w:sz w:val="20"/>
          <w:szCs w:val="20"/>
        </w:rPr>
        <w:t xml:space="preserve">Relembra o fornecedor dos itens pendentes de proposta.</w:t>
      </w:r>
    </w:p>
    <w:p>
      <w:pPr>
        <w:spacing w:after="160" w:before="80"/>
        <w:jc w:val="center"/>
      </w:pPr>
      <w:r>
        <w:drawing>
          <wp:inline distT="0" distB="0" distL="0" distR="0">
            <wp:extent cx="3429000" cy="2867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60" w:before="160"/>
      </w:pPr>
      <w:r>
        <w:rPr>
          <w:b/>
          <w:bCs/>
          <w:color w:val="272525"/>
        </w:rPr>
        <w:t xml:space="preserve">Nova proposta recebida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Gatilho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O fornecedor registra a proposta (por item)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Destinatário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Loja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Assunto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Nova proposta na cotação COT-008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Itens no e-mail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Sim — lista de produtos, quantidade/unidade e valor</w:t>
            </w:r>
          </w:p>
        </w:tc>
      </w:tr>
    </w:tbl>
    <w:p>
      <w:pPr>
        <w:spacing w:after="120" w:before="80"/>
      </w:pPr>
      <w:r>
        <w:rPr>
          <w:b/>
          <w:bCs/>
          <w:color w:val="B38335"/>
          <w:sz w:val="20"/>
          <w:szCs w:val="20"/>
        </w:rPr>
        <w:t xml:space="preserve">Contexto de negócio: </w:t>
      </w:r>
      <w:r>
        <w:rPr>
          <w:sz w:val="20"/>
          <w:szCs w:val="20"/>
        </w:rPr>
        <w:t xml:space="preserve">A Loja recebe o valor por item proposto, base para comparar e adjudicar.</w:t>
      </w:r>
    </w:p>
    <w:p>
      <w:pPr>
        <w:spacing w:after="160" w:before="80"/>
        <w:jc w:val="center"/>
      </w:pPr>
      <w:r>
        <w:drawing>
          <wp:inline distT="0" distB="0" distL="0" distR="0">
            <wp:extent cx="3429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60" w:before="160"/>
      </w:pPr>
      <w:r>
        <w:rPr>
          <w:b/>
          <w:bCs/>
          <w:color w:val="272525"/>
        </w:rPr>
        <w:t xml:space="preserve">Proposta vencedora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Gatilho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A Loja escolhe o vencedor (todos os itens)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Destinatário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Fornecedor vencedor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Assunto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Sua proposta venceu a cotação COT-007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Itens no e-mail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Sim — lista de produtos, quantidade/unidade e valor</w:t>
            </w:r>
          </w:p>
        </w:tc>
      </w:tr>
    </w:tbl>
    <w:p>
      <w:pPr>
        <w:spacing w:after="120" w:before="80"/>
      </w:pPr>
      <w:r>
        <w:rPr>
          <w:b/>
          <w:bCs/>
          <w:color w:val="B38335"/>
          <w:sz w:val="20"/>
          <w:szCs w:val="20"/>
        </w:rPr>
        <w:t xml:space="preserve">Contexto de negócio: </w:t>
      </w:r>
      <w:r>
        <w:rPr>
          <w:sz w:val="20"/>
          <w:szCs w:val="20"/>
        </w:rPr>
        <w:t xml:space="preserve">Decisão do processo inteiro: o e-mail lista os itens adjudicados ao vencedor.</w:t>
      </w:r>
    </w:p>
    <w:p>
      <w:pPr>
        <w:spacing w:after="160" w:before="80"/>
        <w:jc w:val="center"/>
      </w:pPr>
      <w:r>
        <w:drawing>
          <wp:inline distT="0" distB="0" distL="0" distR="0">
            <wp:extent cx="34290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60" w:before="160"/>
      </w:pPr>
      <w:r>
        <w:rPr>
          <w:b/>
          <w:bCs/>
          <w:color w:val="272525"/>
        </w:rPr>
        <w:t xml:space="preserve">Item adjudicado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Gatilho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A Loja adjudica um item a um fornecedor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Destinatário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Fornecedor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Assunto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Item adjudicado a você — cotação COT-007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Itens no e-mail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Sim — lista de produtos, quantidade/unidade e valor</w:t>
            </w:r>
          </w:p>
        </w:tc>
      </w:tr>
    </w:tbl>
    <w:p>
      <w:pPr>
        <w:spacing w:after="120" w:before="80"/>
      </w:pPr>
      <w:r>
        <w:rPr>
          <w:b/>
          <w:bCs/>
          <w:color w:val="B38335"/>
          <w:sz w:val="20"/>
          <w:szCs w:val="20"/>
        </w:rPr>
        <w:t xml:space="preserve">Contexto de negócio: </w:t>
      </w:r>
      <w:r>
        <w:rPr>
          <w:sz w:val="20"/>
          <w:szCs w:val="20"/>
        </w:rPr>
        <w:t xml:space="preserve">Decisão por item: cada produto pode ter um vencedor diferente.</w:t>
      </w:r>
    </w:p>
    <w:p>
      <w:pPr>
        <w:spacing w:after="160" w:before="80"/>
        <w:jc w:val="center"/>
      </w:pPr>
      <w:r>
        <w:drawing>
          <wp:inline distT="0" distB="0" distL="0" distR="0">
            <wp:extent cx="3429000" cy="2276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60" w:before="160"/>
      </w:pPr>
      <w:r>
        <w:rPr>
          <w:b/>
          <w:bCs/>
          <w:color w:val="272525"/>
        </w:rPr>
        <w:t xml:space="preserve">Cotação cancelada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Gatilho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A Loja cancela a cotação com motivo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Destinatário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Fornecedores convidados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Assunto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Cotação COT-008 cancelada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Itens no e-mail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Sim — lista de produtos, quantidade/unidade e valor</w:t>
            </w:r>
          </w:p>
        </w:tc>
      </w:tr>
    </w:tbl>
    <w:p>
      <w:pPr>
        <w:spacing w:after="120" w:before="80"/>
      </w:pPr>
      <w:r>
        <w:rPr>
          <w:b/>
          <w:bCs/>
          <w:color w:val="B38335"/>
          <w:sz w:val="20"/>
          <w:szCs w:val="20"/>
        </w:rPr>
        <w:t xml:space="preserve">Contexto de negócio: </w:t>
      </w:r>
      <w:r>
        <w:rPr>
          <w:sz w:val="20"/>
          <w:szCs w:val="20"/>
        </w:rPr>
        <w:t xml:space="preserve">Encerra o processo informando os itens que estavam em cotação.</w:t>
      </w:r>
    </w:p>
    <w:p>
      <w:pPr>
        <w:spacing w:after="160" w:before="80"/>
        <w:jc w:val="center"/>
      </w:pPr>
      <w:r>
        <w:drawing>
          <wp:inline distT="0" distB="0" distL="0" distR="0">
            <wp:extent cx="3429000" cy="2867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b/>
          <w:bCs/>
          <w:color w:val="B38335"/>
        </w:rPr>
        <w:t xml:space="preserve">Faturamento</w:t>
      </w:r>
    </w:p>
    <w:p>
      <w:pPr>
        <w:spacing w:after="120" w:before="0"/>
      </w:pPr>
      <w:r>
        <w:rPr>
          <w:color w:val="6B6459"/>
        </w:rPr>
        <w:t xml:space="preserve">O fornecedor fatura diretamente à revenda; o sistema registra a nota, os itens e a base do royalty.</w:t>
      </w:r>
    </w:p>
    <w:p>
      <w:pPr>
        <w:pStyle w:val="Heading3"/>
        <w:spacing w:after="60" w:before="160"/>
      </w:pPr>
      <w:r>
        <w:rPr>
          <w:b/>
          <w:bCs/>
          <w:color w:val="272525"/>
        </w:rPr>
        <w:t xml:space="preserve">Pedido faturado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Gatilho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O fornecedor registra o faturamento (NF)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Destinatário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Revenda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Assunto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Pedido PED-0041 faturado — NF-1207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Itens no e-mail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Sim — lista de produtos, quantidade/unidade e valor</w:t>
            </w:r>
          </w:p>
        </w:tc>
      </w:tr>
    </w:tbl>
    <w:p>
      <w:pPr>
        <w:spacing w:after="120" w:before="80"/>
      </w:pPr>
      <w:r>
        <w:rPr>
          <w:b/>
          <w:bCs/>
          <w:color w:val="B38335"/>
          <w:sz w:val="20"/>
          <w:szCs w:val="20"/>
        </w:rPr>
        <w:t xml:space="preserve">Contexto de negócio: </w:t>
      </w:r>
      <w:r>
        <w:rPr>
          <w:sz w:val="20"/>
          <w:szCs w:val="20"/>
        </w:rPr>
        <w:t xml:space="preserve">Confirma a nota fiscal e lista os itens faturados.</w:t>
      </w:r>
    </w:p>
    <w:p>
      <w:pPr>
        <w:spacing w:after="160" w:before="80"/>
        <w:jc w:val="center"/>
      </w:pPr>
      <w:r>
        <w:drawing>
          <wp:inline distT="0" distB="0" distL="0" distR="0">
            <wp:extent cx="34290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60" w:before="160"/>
      </w:pPr>
      <w:r>
        <w:rPr>
          <w:b/>
          <w:bCs/>
          <w:color w:val="272525"/>
        </w:rPr>
        <w:t xml:space="preserve">Faturamento registrado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Gatilho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O fornecedor fatura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Destinatário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Loja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Assunto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Faturamento registrado — NF-1207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Itens no e-mail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Sim — lista de produtos, quantidade/unidade e valor</w:t>
            </w:r>
          </w:p>
        </w:tc>
      </w:tr>
    </w:tbl>
    <w:p>
      <w:pPr>
        <w:spacing w:after="120" w:before="80"/>
      </w:pPr>
      <w:r>
        <w:rPr>
          <w:b/>
          <w:bCs/>
          <w:color w:val="B38335"/>
          <w:sz w:val="20"/>
          <w:szCs w:val="20"/>
        </w:rPr>
        <w:t xml:space="preserve">Contexto de negócio: </w:t>
      </w:r>
      <w:r>
        <w:rPr>
          <w:sz w:val="20"/>
          <w:szCs w:val="20"/>
        </w:rPr>
        <w:t xml:space="preserve">Registra para a Loja o valor, o royalty e os itens faturados.</w:t>
      </w:r>
    </w:p>
    <w:p>
      <w:pPr>
        <w:spacing w:after="160" w:before="80"/>
        <w:jc w:val="center"/>
      </w:pPr>
      <w:r>
        <w:drawing>
          <wp:inline distT="0" distB="0" distL="0" distR="0">
            <wp:extent cx="3429000" cy="3362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b/>
          <w:bCs/>
          <w:color w:val="B38335"/>
        </w:rPr>
        <w:t xml:space="preserve">Royalties e Cobrança</w:t>
      </w:r>
    </w:p>
    <w:p>
      <w:pPr>
        <w:spacing w:after="120" w:before="0"/>
      </w:pPr>
      <w:r>
        <w:rPr>
          <w:color w:val="6B6459"/>
        </w:rPr>
        <w:t xml:space="preserve">A Loja cobra o percentual contratual sobre o faturamento de cada fornecedor. Como é financeiro por competência, não há lista de itens.</w:t>
      </w:r>
    </w:p>
    <w:p>
      <w:pPr>
        <w:pStyle w:val="Heading3"/>
        <w:spacing w:after="60" w:before="160"/>
      </w:pPr>
      <w:r>
        <w:rPr>
          <w:b/>
          <w:bCs/>
          <w:color w:val="272525"/>
        </w:rPr>
        <w:t xml:space="preserve">Cobrança de royalties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Gatilho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A Loja emite a cobrança da competência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Destinatário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Fornecedor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Assunto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Cobrança de royalties — competência 06/2026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Itens no e-mail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Não se aplica (financeiro por competência)</w:t>
            </w:r>
          </w:p>
        </w:tc>
      </w:tr>
    </w:tbl>
    <w:p>
      <w:pPr>
        <w:spacing w:after="120" w:before="80"/>
      </w:pPr>
      <w:r>
        <w:rPr>
          <w:b/>
          <w:bCs/>
          <w:color w:val="B38335"/>
          <w:sz w:val="20"/>
          <w:szCs w:val="20"/>
        </w:rPr>
        <w:t xml:space="preserve">Contexto de negócio: </w:t>
      </w:r>
      <w:r>
        <w:rPr>
          <w:sz w:val="20"/>
          <w:szCs w:val="20"/>
        </w:rPr>
        <w:t xml:space="preserve">Cobrança do percentual sobre o faturamento do período (por competência, não por item).</w:t>
      </w:r>
    </w:p>
    <w:p>
      <w:pPr>
        <w:spacing w:after="160" w:before="80"/>
        <w:jc w:val="center"/>
      </w:pPr>
      <w:r>
        <w:drawing>
          <wp:inline distT="0" distB="0" distL="0" distR="0">
            <wp:extent cx="3429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60" w:before="160"/>
      </w:pPr>
      <w:r>
        <w:rPr>
          <w:b/>
          <w:bCs/>
          <w:color w:val="272525"/>
        </w:rPr>
        <w:t xml:space="preserve">Pagamento registrado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Gatilho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A Loja registra o pagamento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Destinatário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Fornecedor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Assunto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Pagamento de royalties 06/2026 registrado</w:t>
            </w:r>
          </w:p>
        </w:tc>
      </w:tr>
      <w:tr>
        <w:tc>
          <w:tcPr>
            <w:tcW w:type="pct" w:w="26%"/>
            <w:shd w:fill="FAF7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b/>
                <w:bCs/>
                <w:color w:val="B38335"/>
                <w:sz w:val="18"/>
                <w:szCs w:val="18"/>
              </w:rPr>
              <w:t xml:space="preserve">Itens no e-mail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/>
            </w:pPr>
            <w:r>
              <w:rPr>
                <w:sz w:val="20"/>
                <w:szCs w:val="20"/>
              </w:rPr>
              <w:t xml:space="preserve">Não se aplica (financeiro por competência)</w:t>
            </w:r>
          </w:p>
        </w:tc>
      </w:tr>
    </w:tbl>
    <w:p>
      <w:pPr>
        <w:spacing w:after="120" w:before="80"/>
      </w:pPr>
      <w:r>
        <w:rPr>
          <w:b/>
          <w:bCs/>
          <w:color w:val="B38335"/>
          <w:sz w:val="20"/>
          <w:szCs w:val="20"/>
        </w:rPr>
        <w:t xml:space="preserve">Contexto de negócio: </w:t>
      </w:r>
      <w:r>
        <w:rPr>
          <w:sz w:val="20"/>
          <w:szCs w:val="20"/>
        </w:rPr>
        <w:t xml:space="preserve">Confirma a quitação da competência com data e comprovante.</w:t>
      </w:r>
    </w:p>
    <w:p>
      <w:pPr>
        <w:spacing w:after="160" w:before="80"/>
        <w:jc w:val="center"/>
      </w:pPr>
      <w:r>
        <w:drawing>
          <wp:inline distT="0" distB="0" distL="0" distR="0">
            <wp:extent cx="3429000" cy="2609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40" w:before="240"/>
      </w:pPr>
      <w:r>
        <w:rPr>
          <w:b/>
          <w:bCs/>
          <w:color w:val="272525"/>
        </w:rPr>
        <w:t xml:space="preserve">4. Como ativar os e-mails</w:t>
      </w:r>
    </w:p>
    <w:p>
      <w:pPr>
        <w:spacing w:after="120" w:before="0"/>
      </w:pPr>
      <w:r>
        <w:t xml:space="preserve">1. Loja › Configurações Técnicas › Configuração de e-mail: informe o servidor SMTP, o remetente e o e-mail interno da Loja.</w:t>
      </w:r>
    </w:p>
    <w:p>
      <w:pPr>
        <w:spacing w:after="120" w:before="0"/>
      </w:pPr>
      <w:r>
        <w:t xml:space="preserve">2. Ative o envio e use "Verificar conexão" e "Enviar e-mail de teste" para validar.</w:t>
      </w:r>
    </w:p>
    <w:p>
      <w:pPr>
        <w:spacing w:after="120" w:before="0"/>
      </w:pPr>
      <w:r>
        <w:t xml:space="preserve">3. A partir daí, cada ação de pedidos, cotações, faturamento e royalties dispara automaticamente o e-mail correspondente, já com os itens do processo.</w:t>
      </w:r>
    </w:p>
    <w:p>
      <w:pPr>
        <w:spacing w:after="120" w:before="0"/>
      </w:pPr>
      <w:r>
        <w:rPr>
          <w:i/>
          <w:iCs/>
          <w:color w:val="6B6459"/>
        </w:rPr>
        <w:t xml:space="preserve">Enquanto o envio permanece desativado, nenhum e-mail é enviado — ideal para homologação.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72525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92d573b723baba0634f9ad3af0e2648ce144dd.png"/><Relationship Id="rId8" Type="http://schemas.openxmlformats.org/officeDocument/2006/relationships/image" Target="media/8a368991c732bd2cd95d36fac88608a79054da6c.png"/><Relationship Id="rId9" Type="http://schemas.openxmlformats.org/officeDocument/2006/relationships/image" Target="media/24abfb5523e2abc29dcee9a703aefccfad93b9b2.png"/><Relationship Id="rId10" Type="http://schemas.openxmlformats.org/officeDocument/2006/relationships/image" Target="media/958ea09ceea96deee1612954417200d2d1c97cff.png"/><Relationship Id="rId11" Type="http://schemas.openxmlformats.org/officeDocument/2006/relationships/image" Target="media/2d5a1335c768deab8606cbe0e606067df0171c18.png"/><Relationship Id="rId12" Type="http://schemas.openxmlformats.org/officeDocument/2006/relationships/image" Target="media/49857246a0164b6ac9d31713990770e72de0e383.png"/><Relationship Id="rId13" Type="http://schemas.openxmlformats.org/officeDocument/2006/relationships/image" Target="media/3dea14d0324f3ecd3d1cd9bfd25d383eec7d0374.png"/><Relationship Id="rId14" Type="http://schemas.openxmlformats.org/officeDocument/2006/relationships/image" Target="media/e06438bbc19d6e46a1837d22f28b9eb925206dd8.png"/><Relationship Id="rId15" Type="http://schemas.openxmlformats.org/officeDocument/2006/relationships/image" Target="media/4f1a2b68e1fe50a08e4fce3b9463a42756381328.png"/><Relationship Id="rId16" Type="http://schemas.openxmlformats.org/officeDocument/2006/relationships/image" Target="media/c93dd0e90ddfefca68a9d89eaaa3d6092d1ae303.png"/><Relationship Id="rId17" Type="http://schemas.openxmlformats.org/officeDocument/2006/relationships/image" Target="media/1413476a8032d915e34e988939beb3aa5a58d5af.png"/><Relationship Id="rId18" Type="http://schemas.openxmlformats.org/officeDocument/2006/relationships/image" Target="media/6c6b3a317560dced2cc9098e257170f71dbbba54.png"/><Relationship Id="rId19" Type="http://schemas.openxmlformats.org/officeDocument/2006/relationships/image" Target="media/f1880300733e0427d35da428814c8df453b23560.png"/><Relationship Id="rId20" Type="http://schemas.openxmlformats.org/officeDocument/2006/relationships/image" Target="media/eb1977f8de300ecb917314c0ac18efc8df531486.png"/><Relationship Id="rId21" Type="http://schemas.openxmlformats.org/officeDocument/2006/relationships/image" Target="media/ded6b66caa0127024fcda787834e589386de9b91.png"/><Relationship Id="rId22" Type="http://schemas.openxmlformats.org/officeDocument/2006/relationships/image" Target="media/f0f4e46e736ea5fb5009bae0816e7af12040f281.png"/><Relationship Id="rId23" Type="http://schemas.openxmlformats.org/officeDocument/2006/relationships/image" Target="media/dc2450ce2e639b61d4cdacefc66f60ce13cbfc46.png"/><Relationship Id="rId24" Type="http://schemas.openxmlformats.org/officeDocument/2006/relationships/image" Target="media/2f17cb128f0b94b9065f7d352cd2c9fe89a4804f.png"/><Relationship Id="rId25" Type="http://schemas.openxmlformats.org/officeDocument/2006/relationships/image" Target="media/78a0f412498528acfe477cbadb76c7e146447356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Fluxos de aprovação e comunicação por e-mail</dc:title>
  <dc:creator>Plataforma Cidade Imperial</dc:creator>
  <cp:lastModifiedBy>Un-named</cp:lastModifiedBy>
  <cp:revision>1</cp:revision>
  <dcterms:created xsi:type="dcterms:W3CDTF">2026-07-10T00:18:18.410Z</dcterms:created>
  <dcterms:modified xsi:type="dcterms:W3CDTF">2026-07-10T00:18:18.410Z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