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B38335"/>
          <w:sz w:val="22"/>
          <w:szCs w:val="22"/>
        </w:rPr>
        <w:t xml:space="preserve">CIDADE IMPERIAL · PLATAFORMA DA LOJA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72525"/>
          <w:sz w:val="48"/>
          <w:szCs w:val="48"/>
        </w:rPr>
        <w:t xml:space="preserve">Diagrama de Entidades e Relacionamentos + Dicionário de Dados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459"/>
          <w:sz w:val="24"/>
          <w:szCs w:val="24"/>
        </w:rPr>
        <w:t xml:space="preserve">Banco PostgreSQL · 15 tabelas · colunas tipadas + entidade completa em JSONB (coluna data)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6459"/>
          <w:sz w:val="22"/>
          <w:szCs w:val="22"/>
        </w:rPr>
        <w:t xml:space="preserve">Julho de 2026</w:t>
      </w:r>
    </w:p>
    <w:p>
      <w:pPr>
        <w:pStyle w:val="Heading1"/>
      </w:pPr>
      <w:r>
        <w:t xml:space="preserve">Convenções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PK = chave primária. FK lógica = referência mantida pela aplicação (sem constraint física, para preservar o espelhamento transacional do estado). A coluna "ord" preserva a ordem das listas da aplicação. A coluna "data" (JSONB) guarda a entidade completa e é a fonte de leitura da aplicação; as demais colunas são projeções tipadas para consultas SQL e relatórios. Datas de negócio em dd/mm/aaaa; competências em MM/AAAA; valores em reais (R$).</w:t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Diagrama de Entidades e Relacionamentos (DER)</w:t>
      </w:r>
    </w:p>
    <w:p>
      <w:pPr>
        <w:spacing w:after="120"/>
      </w:pPr>
      <w:r>
        <w:drawing>
          <wp:inline distT="0" distB="0" distL="0" distR="0">
            <wp:extent cx="9239250" cy="607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6B6459"/>
          <w:sz w:val="18"/>
          <w:szCs w:val="18"/>
        </w:rPr>
        <w:t xml:space="preserve">O mesmo diagrama está disponível em alta resolução como imagem única: docs/Plataforma-Cidade-Imperial-DER.png.</w:t>
      </w:r>
    </w:p>
    <w:p>
      <w:pPr>
        <w:sectPr>
          <w:pgSz w:w="16838" w:h="11906" w:orient="landscape"/>
          <w:pgMar w:top="700" w:right="800" w:bottom="700" w:left="8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Dicionário de Dados — 15 tabelas</w:t>
      </w:r>
    </w:p>
    <w:p>
      <w:pPr>
        <w:pStyle w:val="Heading2"/>
      </w:pPr>
      <w:r>
        <w:t xml:space="preserve">app_seq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Sequências numéricas da aplicação (linha única, id = 1). Guarda o próximo número a usar em cada identificador de negócio.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Chave primária: </w:t>
      </w:r>
      <w:r>
        <w:rPr>
          <w:rFonts w:ascii="Consolas" w:cs="Consolas" w:eastAsia="Consolas" w:hAnsi="Consolas"/>
          <w:color w:val="3A362E"/>
          <w:sz w:val="19"/>
          <w:szCs w:val="19"/>
        </w:rPr>
        <w:t xml:space="preserve">id</w:t>
      </w: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    ·    Relacionamentos: </w:t>
      </w:r>
      <w:r>
        <w:rPr>
          <w:rFonts w:ascii="Calibri" w:cs="Calibri" w:eastAsia="Calibri" w:hAnsi="Calibri"/>
          <w:color w:val="6B6459"/>
          <w:sz w:val="19"/>
          <w:szCs w:val="19"/>
        </w:rPr>
        <w:t xml:space="preserve">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Coluna</w:t>
            </w:r>
          </w:p>
        </w:tc>
        <w:tc>
          <w:tcPr>
            <w:tcW w:type="pct" w:w="1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9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Obrig.</w:t>
            </w:r>
          </w:p>
        </w:tc>
        <w:tc>
          <w:tcPr>
            <w:tcW w:type="pct" w:w="51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Sempre 1 (CHECK id = 1) — tabela de linha única.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ped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Próximo número de pedido (PED-NNNN).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Próximo número de cotação (COT-NN).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forn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Próximo id de fornecedor.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prod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Próximo id de produto.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rev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Próximo id de revenda.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ctr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Próximo id de contrato.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nf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Próximo número de nota de faturamento (NF-NNNN).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fornecedores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Parceiros homologados que fornecem produtos, participam de cotações, faturam diretamente às revendas e pagam royalty à Loja.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Chave primária: </w:t>
      </w:r>
      <w:r>
        <w:rPr>
          <w:rFonts w:ascii="Consolas" w:cs="Consolas" w:eastAsia="Consolas" w:hAnsi="Consolas"/>
          <w:color w:val="3A362E"/>
          <w:sz w:val="19"/>
          <w:szCs w:val="19"/>
        </w:rPr>
        <w:t xml:space="preserve">id</w:t>
      </w: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    ·    Relacionamentos: </w:t>
      </w:r>
      <w:r>
        <w:rPr>
          <w:rFonts w:ascii="Calibri" w:cs="Calibri" w:eastAsia="Calibri" w:hAnsi="Calibri"/>
          <w:color w:val="6B6459"/>
          <w:sz w:val="19"/>
          <w:szCs w:val="19"/>
        </w:rPr>
        <w:t xml:space="preserve">1:N com contratos, produtos, faturamentos; N:M com cotacoes (convidados/propostas); 1:N com pagamentos (fechamentos); vínculo opcional de usuarios.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Coluna</w:t>
            </w:r>
          </w:p>
        </w:tc>
        <w:tc>
          <w:tcPr>
            <w:tcW w:type="pct" w:w="1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9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Obrig.</w:t>
            </w:r>
          </w:p>
        </w:tc>
        <w:tc>
          <w:tcPr>
            <w:tcW w:type="pct" w:w="51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Identificador do fornecedor.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ord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Posição na lista (preserva a ordem da aplicação).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nome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Razão social / nome fantasia.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cnpj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CNPJ formatado (validado pela análise fiscal do faturamento).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cidade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Cidade/UF.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contato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E-mail comercial — destino das notificações do fornecedor.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ativo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Inativo não aparece em novas cotações/envios diretos.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Entidade completa (espelho lossless dos campos acima).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contratos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Contratos da Loja com cada fornecedor; o percentual de royalty vigente é a base do cálculo em cada faturamento.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Chave primária: </w:t>
      </w:r>
      <w:r>
        <w:rPr>
          <w:rFonts w:ascii="Consolas" w:cs="Consolas" w:eastAsia="Consolas" w:hAnsi="Consolas"/>
          <w:color w:val="3A362E"/>
          <w:sz w:val="19"/>
          <w:szCs w:val="19"/>
        </w:rPr>
        <w:t xml:space="preserve">id</w:t>
      </w: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    ·    Relacionamentos: </w:t>
      </w:r>
      <w:r>
        <w:rPr>
          <w:rFonts w:ascii="Calibri" w:cs="Calibri" w:eastAsia="Calibri" w:hAnsi="Calibri"/>
          <w:color w:val="6B6459"/>
          <w:sz w:val="19"/>
          <w:szCs w:val="19"/>
        </w:rPr>
        <w:t xml:space="preserve">N:1 com fornecedores.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Coluna</w:t>
            </w:r>
          </w:p>
        </w:tc>
        <w:tc>
          <w:tcPr>
            <w:tcW w:type="pct" w:w="1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9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Obrig.</w:t>
            </w:r>
          </w:p>
        </w:tc>
        <w:tc>
          <w:tcPr>
            <w:tcW w:type="pct" w:w="51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Identificador do contrato.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ord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Posição na lista.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fornecedor_id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Fornecedor contratado (FK lógica → fornecedores.id).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numero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Número do contrato (CT-AAAA-NNN).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royalty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Percentual de royalty vigente (ex.: 3 = 3%).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inicio / fim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Vigência (dd/mm/aaaa).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vigente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Somente o contrato vigente define o % dos novos faturamentos.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Entidade completa + campos abaixo.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19"/>
          <w:szCs w:val="19"/>
        </w:rPr>
        <w:t xml:space="preserve">Campos dentro de data (JSONB):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Campo</w:t>
            </w:r>
          </w:p>
        </w:tc>
        <w:tc>
          <w:tcPr>
            <w:tcW w:type="pct" w:w="26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5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historico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LISTA de {data, de, para, usuario}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Trilha de alterações do percentual de royalty (RF04).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produtos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Catálogo de produtos homologados pela Loja. O preço é de referência interna — NUNCA exibido à revenda; ela só vê valores negociados/faturados.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Chave primária: </w:t>
      </w:r>
      <w:r>
        <w:rPr>
          <w:rFonts w:ascii="Consolas" w:cs="Consolas" w:eastAsia="Consolas" w:hAnsi="Consolas"/>
          <w:color w:val="3A362E"/>
          <w:sz w:val="19"/>
          <w:szCs w:val="19"/>
        </w:rPr>
        <w:t xml:space="preserve">id</w:t>
      </w: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    ·    Relacionamentos: </w:t>
      </w:r>
      <w:r>
        <w:rPr>
          <w:rFonts w:ascii="Calibri" w:cs="Calibri" w:eastAsia="Calibri" w:hAnsi="Calibri"/>
          <w:color w:val="6B6459"/>
          <w:sz w:val="19"/>
          <w:szCs w:val="19"/>
        </w:rPr>
        <w:t xml:space="preserve">N:1 com fornecedores; referenciado por pedidos.itens, cotacoes.itens e inventarios.itens (JSONB).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Coluna</w:t>
            </w:r>
          </w:p>
        </w:tc>
        <w:tc>
          <w:tcPr>
            <w:tcW w:type="pct" w:w="1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9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Obrig.</w:t>
            </w:r>
          </w:p>
        </w:tc>
        <w:tc>
          <w:tcPr>
            <w:tcW w:type="pct" w:w="51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Identificador do produto.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ord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Posição na lista.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codigo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Código único (PRD-NNN) — usado também na planilha de inventário.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descricao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Descrição comercial.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unidade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Unidade de venda (Barril, Caixa, Unidade, Pacote…).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preco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Preço de referência (R$) — oculto ao perfil Revenda em toda a aplicação.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fornecedor_id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Fornecedor padrão (FK lógica → fornecedores.id).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ativo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Inativo sai do catálogo das revendas.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Entidade completa + campos abaixo.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19"/>
          <w:szCs w:val="19"/>
        </w:rPr>
        <w:t xml:space="preserve">Campos dentro de data (JSONB):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Campo</w:t>
            </w:r>
          </w:p>
        </w:tc>
        <w:tc>
          <w:tcPr>
            <w:tcW w:type="pct" w:w="26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5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precoHist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LISTA de {data, de, para, usuario}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Histórico de alterações de preço.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fotos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LISTA de URLs (opcional)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Imagens exibidas no catálogo/lightbox.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revendas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Clientes que compram para revender. A visibilidade define quais fornecedores (e portanto produtos) cada revenda enxerga no catálogo.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Chave primária: </w:t>
      </w:r>
      <w:r>
        <w:rPr>
          <w:rFonts w:ascii="Consolas" w:cs="Consolas" w:eastAsia="Consolas" w:hAnsi="Consolas"/>
          <w:color w:val="3A362E"/>
          <w:sz w:val="19"/>
          <w:szCs w:val="19"/>
        </w:rPr>
        <w:t xml:space="preserve">id</w:t>
      </w: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    ·    Relacionamentos: </w:t>
      </w:r>
      <w:r>
        <w:rPr>
          <w:rFonts w:ascii="Calibri" w:cs="Calibri" w:eastAsia="Calibri" w:hAnsi="Calibri"/>
          <w:color w:val="6B6459"/>
          <w:sz w:val="19"/>
          <w:szCs w:val="19"/>
        </w:rPr>
        <w:t xml:space="preserve">1:N com pedidos e faturamentos; vínculo opcional de usuarios.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Coluna</w:t>
            </w:r>
          </w:p>
        </w:tc>
        <w:tc>
          <w:tcPr>
            <w:tcW w:type="pct" w:w="1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9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Obrig.</w:t>
            </w:r>
          </w:p>
        </w:tc>
        <w:tc>
          <w:tcPr>
            <w:tcW w:type="pct" w:w="51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Identificador da revenda.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ord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Posição na lista.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nome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Nome da revenda.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cnpj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CNPJ (conferido como destinatário na análise fiscal).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cidade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Cidade/UF.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ativo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Inativa não acessa o catálogo.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Destino das notificações da revenda.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Entidade completa + campos abaixo.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19"/>
          <w:szCs w:val="19"/>
        </w:rPr>
        <w:t xml:space="preserve">Campos dentro de data (JSONB):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Campo</w:t>
            </w:r>
          </w:p>
        </w:tc>
        <w:tc>
          <w:tcPr>
            <w:tcW w:type="pct" w:w="26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5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visibilidade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LISTA de fornecedorId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Fornecedores cujos produtos a revenda pode ver/comprar.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prodBloq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LISTA de produtoId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Produtos bloqueados individualmente para a revenda.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ultimoAcesso / ultimoConvite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Último acesso do usuário vinculado e último convite reenviado.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pedidos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Pedido da revenda. Cada ITEM carrega seu próprio caminho de atendimento e pode ser fracionado por quantidade (linhas separadas) entre estoque, envio direto e cotação.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Chave primária: </w:t>
      </w:r>
      <w:r>
        <w:rPr>
          <w:rFonts w:ascii="Consolas" w:cs="Consolas" w:eastAsia="Consolas" w:hAnsi="Consolas"/>
          <w:color w:val="3A362E"/>
          <w:sz w:val="19"/>
          <w:szCs w:val="19"/>
        </w:rPr>
        <w:t xml:space="preserve">id (TEXT, PED-NNNN)</w:t>
      </w: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    ·    Relacionamentos: </w:t>
      </w:r>
      <w:r>
        <w:rPr>
          <w:rFonts w:ascii="Calibri" w:cs="Calibri" w:eastAsia="Calibri" w:hAnsi="Calibri"/>
          <w:color w:val="6B6459"/>
          <w:sz w:val="19"/>
          <w:szCs w:val="19"/>
        </w:rPr>
        <w:t xml:space="preserve">N:1 com revendas; 1:N com cotacoes e faturamentos; itens referenciam produtos e fornecedores.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Coluna</w:t>
            </w:r>
          </w:p>
        </w:tc>
        <w:tc>
          <w:tcPr>
            <w:tcW w:type="pct" w:w="1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9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Obrig.</w:t>
            </w:r>
          </w:p>
        </w:tc>
        <w:tc>
          <w:tcPr>
            <w:tcW w:type="pct" w:w="51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Número do pedido (PED-NNNN).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ord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Posição na lista.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revenda_id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Revenda solicitante (FK lógica → revendas.id).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fornecedor_id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Fornecedor de destino consolidado (informativo).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cotacao_id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Cotação relacionada (quando houver).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Total do pedido a preço de referência (R$).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pendente · aprovado · em cotação · encaminhado · atendido · faturado · rejeitado (derivado dos itens).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data_criacao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 de criação (dd/mm/aaaa).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Entidade completa + campos abaixo.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19"/>
          <w:szCs w:val="19"/>
        </w:rPr>
        <w:t xml:space="preserve">Campos dentro de data (JSONB):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Campo</w:t>
            </w:r>
          </w:p>
        </w:tc>
        <w:tc>
          <w:tcPr>
            <w:tcW w:type="pct" w:w="26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5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itens[]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LISTA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Um registro por item/fração: produtoId (→ produtos), qtd, preco (referência), st (pendente | aprovado | rejeitado | estoque | direto | cotacao | faturado), fornecedorId (destino, quando direto/faturado), cotacaoId (quando em cotação), estoqueTs (época do atendimento por estoque — base do saldo de inventário), justificativa (rejeição do item).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trilha[]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LISTA de {quando, usuario, acao}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Linha do tempo do pedido (aprovações, encaminhamentos, faturamento com anexo/análise…).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justificativa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Justificativa da rejeição do pedido inteiro.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cotacoes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Concorrência entre fornecedores convidados para itens de um pedido. Propostas são sigilosas entre concorrentes; a decisão pode ser do processo inteiro ou item a item.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Chave primária: </w:t>
      </w:r>
      <w:r>
        <w:rPr>
          <w:rFonts w:ascii="Consolas" w:cs="Consolas" w:eastAsia="Consolas" w:hAnsi="Consolas"/>
          <w:color w:val="3A362E"/>
          <w:sz w:val="19"/>
          <w:szCs w:val="19"/>
        </w:rPr>
        <w:t xml:space="preserve">id (TEXT, COT-NN)</w:t>
      </w: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    ·    Relacionamentos: </w:t>
      </w:r>
      <w:r>
        <w:rPr>
          <w:rFonts w:ascii="Calibri" w:cs="Calibri" w:eastAsia="Calibri" w:hAnsi="Calibri"/>
          <w:color w:val="6B6459"/>
          <w:sz w:val="19"/>
          <w:szCs w:val="19"/>
        </w:rPr>
        <w:t xml:space="preserve">N:1 com pedidos; N:M com fornecedores (convidados/propostas); vencedor_id → fornecedores; referenciada por faturamentos.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Coluna</w:t>
            </w:r>
          </w:p>
        </w:tc>
        <w:tc>
          <w:tcPr>
            <w:tcW w:type="pct" w:w="1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9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Obrig.</w:t>
            </w:r>
          </w:p>
        </w:tc>
        <w:tc>
          <w:tcPr>
            <w:tcW w:type="pct" w:w="51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Número da cotação (COT-NN).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ord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Posição na lista.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pedido_id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Pedido de origem (FK lógica → pedidos.id).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prazo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Data-limite para propostas (dd/mm/aaaa).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aguardando propostas · encerrada · cancelada.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vencedor_id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Fornecedor vencedor do processo inteiro (nulo quando decidido por item).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Entidade completa + campos abaixo.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19"/>
          <w:szCs w:val="19"/>
        </w:rPr>
        <w:t xml:space="preserve">Campos dentro de data (JSONB):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Campo</w:t>
            </w:r>
          </w:p>
        </w:tc>
        <w:tc>
          <w:tcPr>
            <w:tcW w:type="pct" w:w="26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5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itens[]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LISTA de {produtoId, qtd, preco}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Itens/quantidades cotados (preço = referência).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convidados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LISTA de fornecedorId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Fornecedores convidados a propor.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propostas[]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LISTA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Uma por fornecedor: fornecedorId, preco (total), itens {produtoId: preço unitário}, prazoEntrega, validade, condicoes, quando.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vencItens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OBJETO {produtoId: fornecedorId}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Adjudicação item a item (vencedores diferentes por item).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justificativa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Obrigatória quando a escolha não é o menor preço.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motivoCancel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Motivo do cancelamento.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historico[]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LISTA de {quando, usuario, acao}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Linha do tempo (abertura, propostas, lembretes, decisão).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faturamentos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Notas emitidas pelo fornecedor diretamente à revenda. Exigem anexo do documento fiscal (PDF/XML) e guardam o veredito da análise automática; o royalty é calculado pelo % do contrato vigente.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Chave primária: </w:t>
      </w:r>
      <w:r>
        <w:rPr>
          <w:rFonts w:ascii="Consolas" w:cs="Consolas" w:eastAsia="Consolas" w:hAnsi="Consolas"/>
          <w:color w:val="3A362E"/>
          <w:sz w:val="19"/>
          <w:szCs w:val="19"/>
        </w:rPr>
        <w:t xml:space="preserve">id (TEXT, NF-NNNN)</w:t>
      </w: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    ·    Relacionamentos: </w:t>
      </w:r>
      <w:r>
        <w:rPr>
          <w:rFonts w:ascii="Calibri" w:cs="Calibri" w:eastAsia="Calibri" w:hAnsi="Calibri"/>
          <w:color w:val="6B6459"/>
          <w:sz w:val="19"/>
          <w:szCs w:val="19"/>
        </w:rPr>
        <w:t xml:space="preserve">N:1 com pedidos, fornecedores, revendas; 0..1 com cotacoes e anexos; consolidado em pagamentos por competência+fornecedor.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Coluna</w:t>
            </w:r>
          </w:p>
        </w:tc>
        <w:tc>
          <w:tcPr>
            <w:tcW w:type="pct" w:w="1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9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Obrig.</w:t>
            </w:r>
          </w:p>
        </w:tc>
        <w:tc>
          <w:tcPr>
            <w:tcW w:type="pct" w:w="51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Número da nota (NF-NNNN).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ord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Posição na lista.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pedido_id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Pedido faturado (FK lógica → pedidos.id).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fornecedor_id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Fornecedor emitente (FK lógica → fornecedores.id).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revenda_id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Revenda destinatária (FK lógica → revendas.id).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Valor efetivamente faturado (R$).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competencia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Competência do fechamento (MM/AAAA).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royalty_pct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Percentual aplicado (do contrato vigente na emissão).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royalty_valor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Royalty devido = valor × royalty_pct.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Entidade completa + campos abaixo.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19"/>
          <w:szCs w:val="19"/>
        </w:rPr>
        <w:t xml:space="preserve">Campos dentro de data (JSONB):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Campo</w:t>
            </w:r>
          </w:p>
        </w:tc>
        <w:tc>
          <w:tcPr>
            <w:tcW w:type="pct" w:w="26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5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cotacaoId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Cotação de origem, quando o item veio de concorrência.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 dd/mm/aaaa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 de emissão da nota.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anexoId / anexoNome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 (→ anexos.id)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Documento fiscal anexado (obrigatório no registro).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analise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OBJETO {aceito, confianca, motivo, engine, quando}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Veredito da análise do documento (engine: claude | local); nulo quando o flag estava desligado.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pagamentos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Fechamento mensal de royalty por fornecedor (RF37–RF41): cobrança com vencimento, controle de atraso, lembrete e baixa de pagamento.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Chave primária: </w:t>
      </w:r>
      <w:r>
        <w:rPr>
          <w:rFonts w:ascii="Consolas" w:cs="Consolas" w:eastAsia="Consolas" w:hAnsi="Consolas"/>
          <w:color w:val="3A362E"/>
          <w:sz w:val="19"/>
          <w:szCs w:val="19"/>
        </w:rPr>
        <w:t xml:space="preserve">chave (TEXT, "MM/AAAA-fornecedorId")</w:t>
      </w: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    ·    Relacionamentos: </w:t>
      </w:r>
      <w:r>
        <w:rPr>
          <w:rFonts w:ascii="Calibri" w:cs="Calibri" w:eastAsia="Calibri" w:hAnsi="Calibri"/>
          <w:color w:val="6B6459"/>
          <w:sz w:val="19"/>
          <w:szCs w:val="19"/>
        </w:rPr>
        <w:t xml:space="preserve">Consolida faturamentos da competência; N:1 lógico com fornecedores.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Coluna</w:t>
            </w:r>
          </w:p>
        </w:tc>
        <w:tc>
          <w:tcPr>
            <w:tcW w:type="pct" w:w="1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9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Obrig.</w:t>
            </w:r>
          </w:p>
        </w:tc>
        <w:tc>
          <w:tcPr>
            <w:tcW w:type="pct" w:w="51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chave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Competência + fornecedor (ex.: "06/2026-1").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 pagar · em atraso (derivado do vencimento) · pago.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valor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NUMERIC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Valor efetivamente pago (R$).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Entidade completa + campos abaixo.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19"/>
          <w:szCs w:val="19"/>
        </w:rPr>
        <w:t xml:space="preserve">Campos dentro de data (JSONB):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Campo</w:t>
            </w:r>
          </w:p>
        </w:tc>
        <w:tc>
          <w:tcPr>
            <w:tcW w:type="pct" w:w="26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5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cobranca / cobrancaData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BOOL · 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Cobrança emitida e a data de emissão.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numero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Número do documento de cobrança (COB-AAAAMM-NN).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vencimento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 dd/mm/aaaa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Vencimento definido na emissão — após essa data sem pagamento, o status vira "em atraso" automaticamente.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lembreteData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 do último lembrete de atraso enviado.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 / comprovante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 do pagamento e identificação do comprovante (PIX/TED…).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pagoComAtraso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BOOL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true quando a data do pagamento superou o vencimento.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inventarios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Contagens de estoque da Loja em datas específicas (manual ou por planilha XLSX). O saldo exibido nos pedidos = última contagem − atendimentos por estoque posteriores a ela.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Chave primária: </w:t>
      </w:r>
      <w:r>
        <w:rPr>
          <w:rFonts w:ascii="Consolas" w:cs="Consolas" w:eastAsia="Consolas" w:hAnsi="Consolas"/>
          <w:color w:val="3A362E"/>
          <w:sz w:val="19"/>
          <w:szCs w:val="19"/>
        </w:rPr>
        <w:t xml:space="preserve">id</w:t>
      </w: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    ·    Relacionamentos: </w:t>
      </w:r>
      <w:r>
        <w:rPr>
          <w:rFonts w:ascii="Calibri" w:cs="Calibri" w:eastAsia="Calibri" w:hAnsi="Calibri"/>
          <w:color w:val="6B6459"/>
          <w:sz w:val="19"/>
          <w:szCs w:val="19"/>
        </w:rPr>
        <w:t xml:space="preserve">Itens referenciam produtos (JSONB).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Coluna</w:t>
            </w:r>
          </w:p>
        </w:tc>
        <w:tc>
          <w:tcPr>
            <w:tcW w:type="pct" w:w="1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9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Obrig.</w:t>
            </w:r>
          </w:p>
        </w:tc>
        <w:tc>
          <w:tcPr>
            <w:tcW w:type="pct" w:w="51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Identificador do inventário.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ord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Posição na lista.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data_lanc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 da contagem (dd/mm/aaaa).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usuario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Quem lançou.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Entidade completa + campos abaixo.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19"/>
          <w:szCs w:val="19"/>
        </w:rPr>
        <w:t xml:space="preserve">Campos dentro de data (JSONB):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Campo</w:t>
            </w:r>
          </w:p>
        </w:tc>
        <w:tc>
          <w:tcPr>
            <w:tcW w:type="pct" w:w="26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5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NÚMERO (época ms)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Marca temporal usada para descontar apenas consumos posteriores à contagem.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obs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Observação do lançamento.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itens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OBJETO {produtoId: quantidade}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Quantidades contadas por produto.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usuarios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Contas de acesso com papel (perfil) e permissões de granularidade fina por usuário. Fornecedor/Revenda ficam travados no vínculo.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Chave primária: </w:t>
      </w:r>
      <w:r>
        <w:rPr>
          <w:rFonts w:ascii="Consolas" w:cs="Consolas" w:eastAsia="Consolas" w:hAnsi="Consolas"/>
          <w:color w:val="3A362E"/>
          <w:sz w:val="19"/>
          <w:szCs w:val="19"/>
        </w:rPr>
        <w:t xml:space="preserve">id</w:t>
      </w: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    ·    Relacionamentos: </w:t>
      </w:r>
      <w:r>
        <w:rPr>
          <w:rFonts w:ascii="Calibri" w:cs="Calibri" w:eastAsia="Calibri" w:hAnsi="Calibri"/>
          <w:color w:val="6B6459"/>
          <w:sz w:val="19"/>
          <w:szCs w:val="19"/>
        </w:rPr>
        <w:t xml:space="preserve">Vínculo opcional com fornecedores (fornecedorId) ou revendas (revendaId).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Coluna</w:t>
            </w:r>
          </w:p>
        </w:tc>
        <w:tc>
          <w:tcPr>
            <w:tcW w:type="pct" w:w="1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9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Obrig.</w:t>
            </w:r>
          </w:p>
        </w:tc>
        <w:tc>
          <w:tcPr>
            <w:tcW w:type="pct" w:w="51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Identificador do usuário.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ord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Posição na lista.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nome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Nome exibido (aparece na auditoria e nas trilhas).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email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Login — único (case-insensitive).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papel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admin · loja · fornecedor · revenda.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ativo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Inativo não consegue entrar (deve existir ≥ 1 admin ativo).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Entidade completa + campos abaixo.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19"/>
          <w:szCs w:val="19"/>
        </w:rPr>
        <w:t xml:space="preserve">Campos dentro de data (JSONB):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Campo</w:t>
            </w:r>
          </w:p>
        </w:tc>
        <w:tc>
          <w:tcPr>
            <w:tcW w:type="pct" w:w="26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5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senhaHash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Hash da senha (não reversível).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fornecedorId / revendaId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Vínculo obrigatório para papéis fornecedor/revenda.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permissoes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OBJETO {chave: bool}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Sobreposições individuais ao padrão do perfil (25 chaves em 7 grupos: pedidos.*, cotacoes.*, faturamento.*, royalties.*, cadastros.*, inventario.*, relatorios.*, auditoria.*, config.*).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ultimoAcesso / criadoEm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Controle de acesso e criação.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anexos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Arquivos binários dos documentos fiscais (PDF/XML) anexados no faturamento. Gravados uma única vez (imutáveis) e servidos por id — fora do estado sincronizado da aplicação.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Chave primária: </w:t>
      </w:r>
      <w:r>
        <w:rPr>
          <w:rFonts w:ascii="Consolas" w:cs="Consolas" w:eastAsia="Consolas" w:hAnsi="Consolas"/>
          <w:color w:val="3A362E"/>
          <w:sz w:val="19"/>
          <w:szCs w:val="19"/>
        </w:rPr>
        <w:t xml:space="preserve">id (TEXT, "ax…")</w:t>
      </w: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    ·    Relacionamentos: </w:t>
      </w:r>
      <w:r>
        <w:rPr>
          <w:rFonts w:ascii="Calibri" w:cs="Calibri" w:eastAsia="Calibri" w:hAnsi="Calibri"/>
          <w:color w:val="6B6459"/>
          <w:sz w:val="19"/>
          <w:szCs w:val="19"/>
        </w:rPr>
        <w:t xml:space="preserve">Referenciado por faturamentos.data.anexoId (1 → 0..1).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Coluna</w:t>
            </w:r>
          </w:p>
        </w:tc>
        <w:tc>
          <w:tcPr>
            <w:tcW w:type="pct" w:w="1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9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Obrig.</w:t>
            </w:r>
          </w:p>
        </w:tc>
        <w:tc>
          <w:tcPr>
            <w:tcW w:type="pct" w:w="51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Identificador gerado no upload (ax + base36).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nome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Nome original do arquivo (ex.: nfe-1234.xml).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MIME (application/pdf ou text/xml).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tamanho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Tamanho em bytes (limite: 5 MB).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criado_em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Data/hora do upload (ISO 8601).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dados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Conteúdo do arquivo em base64.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auditoria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Trilha das operações críticas e eventos de segurança (logins, falhas, logouts, acessos negados). Mantém os últimos 400 eventos, classificados por módulo e severidade.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Chave primária: </w:t>
      </w:r>
      <w:r>
        <w:rPr>
          <w:rFonts w:ascii="Consolas" w:cs="Consolas" w:eastAsia="Consolas" w:hAnsi="Consolas"/>
          <w:color w:val="3A362E"/>
          <w:sz w:val="19"/>
          <w:szCs w:val="19"/>
        </w:rPr>
        <w:t xml:space="preserve">ord</w:t>
      </w: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    ·    Relacionamentos: </w:t>
      </w:r>
      <w:r>
        <w:rPr>
          <w:rFonts w:ascii="Calibri" w:cs="Calibri" w:eastAsia="Calibri" w:hAnsi="Calibri"/>
          <w:color w:val="6B6459"/>
          <w:sz w:val="19"/>
          <w:szCs w:val="19"/>
        </w:rPr>
        <w:t xml:space="preserve">usuario/email referenciam usuarios (informativo).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Coluna</w:t>
            </w:r>
          </w:p>
        </w:tc>
        <w:tc>
          <w:tcPr>
            <w:tcW w:type="pct" w:w="1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9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Obrig.</w:t>
            </w:r>
          </w:p>
        </w:tc>
        <w:tc>
          <w:tcPr>
            <w:tcW w:type="pct" w:w="51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ord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Posição (0 = mais recente).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quando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Data/hora formatada (dd/mm/aaaa hh:mm).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usuario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Quem executou (ou e-mail tentado, em falha de login).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acao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Operação (ex.: "Registro de faturamento", "Falha de login").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detalhe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Não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Complemento (números de documentos, valores, motivos…).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Entidade completa + campos abaixo.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19"/>
          <w:szCs w:val="19"/>
        </w:rPr>
        <w:t xml:space="preserve">Campos dentro de data (JSONB):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Campo</w:t>
            </w:r>
          </w:p>
        </w:tc>
        <w:tc>
          <w:tcPr>
            <w:tcW w:type="pct" w:w="26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5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ts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NÚMERO (época ms)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Base dos filtros por período.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email / papel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Identificação de quem executou.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modulo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Segurança · Pedidos · Cotações · Faturamento · Royalties · Cadastros · Estoque · Usuários · Configurações · Relatórios.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sev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info · alerta · critico.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config_email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Configuração SMTP da plataforma (linha única, id = 1), gerenciada pelo administrador na tela Configurações Técnicas.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Chave primária: </w:t>
      </w:r>
      <w:r>
        <w:rPr>
          <w:rFonts w:ascii="Consolas" w:cs="Consolas" w:eastAsia="Consolas" w:hAnsi="Consolas"/>
          <w:color w:val="3A362E"/>
          <w:sz w:val="19"/>
          <w:szCs w:val="19"/>
        </w:rPr>
        <w:t xml:space="preserve">id</w:t>
      </w: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    ·    Relacionamentos: </w:t>
      </w:r>
      <w:r>
        <w:rPr>
          <w:rFonts w:ascii="Calibri" w:cs="Calibri" w:eastAsia="Calibri" w:hAnsi="Calibri"/>
          <w:color w:val="6B6459"/>
          <w:sz w:val="19"/>
          <w:szCs w:val="19"/>
        </w:rPr>
        <w:t xml:space="preserve">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Coluna</w:t>
            </w:r>
          </w:p>
        </w:tc>
        <w:tc>
          <w:tcPr>
            <w:tcW w:type="pct" w:w="1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9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Obrig.</w:t>
            </w:r>
          </w:p>
        </w:tc>
        <w:tc>
          <w:tcPr>
            <w:tcW w:type="pct" w:w="51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Sempre 1 (singleton).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Campos abaixo.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19"/>
          <w:szCs w:val="19"/>
        </w:rPr>
        <w:t xml:space="preserve">Campos dentro de data (JSONB):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Campo</w:t>
            </w:r>
          </w:p>
        </w:tc>
        <w:tc>
          <w:tcPr>
            <w:tcW w:type="pct" w:w="26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5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host / porta / seguranca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Servidor SMTP; segurança: starttls · ssl · none.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usuario / senha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Autenticação no servidor de e-mail.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remetenteNome / remetenteEmail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Remetente exibido nos e-mails automáticos.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responderPara / emailLoja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TEXTO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Reply-to e e-mail interno da Loja (avisos).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ativo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BOOL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Liga/desliga o envio de todos os e-mails automáticos.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 </w:t>
      </w:r>
    </w:p>
    <w:p>
      <w:pPr>
        <w:pStyle w:val="Heading2"/>
      </w:pPr>
      <w:r>
        <w:t xml:space="preserve">config_plataforma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Flags administrativas gerais (linha única, id = 1).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Chave primária: </w:t>
      </w:r>
      <w:r>
        <w:rPr>
          <w:rFonts w:ascii="Consolas" w:cs="Consolas" w:eastAsia="Consolas" w:hAnsi="Consolas"/>
          <w:color w:val="3A362E"/>
          <w:sz w:val="19"/>
          <w:szCs w:val="19"/>
        </w:rPr>
        <w:t xml:space="preserve">id</w:t>
      </w:r>
      <w:r>
        <w:rPr>
          <w:rFonts w:ascii="Calibri" w:cs="Calibri" w:eastAsia="Calibri" w:hAnsi="Calibri"/>
          <w:b/>
          <w:bCs/>
          <w:color w:val="3A362E"/>
          <w:sz w:val="19"/>
          <w:szCs w:val="19"/>
        </w:rPr>
        <w:t xml:space="preserve">    ·    Relacionamentos: </w:t>
      </w:r>
      <w:r>
        <w:rPr>
          <w:rFonts w:ascii="Calibri" w:cs="Calibri" w:eastAsia="Calibri" w:hAnsi="Calibri"/>
          <w:color w:val="6B6459"/>
          <w:sz w:val="19"/>
          <w:szCs w:val="19"/>
        </w:rPr>
        <w:t xml:space="preserve">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Coluna</w:t>
            </w:r>
          </w:p>
        </w:tc>
        <w:tc>
          <w:tcPr>
            <w:tcW w:type="pct" w:w="18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9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Obrig.</w:t>
            </w:r>
          </w:p>
        </w:tc>
        <w:tc>
          <w:tcPr>
            <w:tcW w:type="pct" w:w="51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272525" w:color="272525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INTEGER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Sempre 1 (singleton).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data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JSONB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Sim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Campos abaixo.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3A362E"/>
          <w:sz w:val="19"/>
          <w:szCs w:val="19"/>
        </w:rPr>
        <w:t xml:space="preserve">Campos dentro de data (JSONB):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Campo</w:t>
            </w:r>
          </w:p>
        </w:tc>
        <w:tc>
          <w:tcPr>
            <w:tcW w:type="pct" w:w="26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Tipo</w:t>
            </w:r>
          </w:p>
        </w:tc>
        <w:tc>
          <w:tcPr>
            <w:tcW w:type="pct" w:w="52%"/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shd w:fill="5D5646" w:color="5D5646" w:val="solid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3BF7E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analiseFiscalIA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BOOL</w:t>
            </w:r>
          </w:p>
        </w:tc>
        <w:tc>
          <w:tcPr>
            <w:tcBorders>
              <w:top w:val="single" w:color="E5DDCD" w:sz="4"/>
              <w:left w:val="single" w:color="E5DDCD" w:sz="4"/>
              <w:bottom w:val="single" w:color="E5DDCD" w:sz="4"/>
              <w:right w:val="single" w:color="E5DDC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362E"/>
                <w:sz w:val="18"/>
                <w:szCs w:val="18"/>
              </w:rPr>
              <w:t xml:space="preserve">Habilita/desabilita a análise automática do documento fiscal no faturamento (o anexo permanece obrigatório).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62E"/>
          <w:sz w:val="21"/>
          <w:szCs w:val="21"/>
        </w:rPr>
        <w:t xml:space="preserve"> 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27252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60"/>
    </w:pPr>
    <w:rPr>
      <w:rFonts w:ascii="Consolas" w:cs="Consolas" w:eastAsia="Consolas" w:hAnsi="Consolas"/>
      <w:b/>
      <w:bCs/>
      <w:color w:val="B3833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d161fd5e24ac2f8b0370f5dfcf6525e5d6581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2026-07-15T15:48:11.595Z</dcterms:created>
  <dcterms:modified xsi:type="dcterms:W3CDTF">2026-07-15T15:48:11.596Z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