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696C5" w14:textId="67A70C45" w:rsidR="001C61D5" w:rsidRDefault="009437AA"/>
    <w:p w14:paraId="0E8E9021" w14:textId="0E3C0C65" w:rsidR="0098284D" w:rsidRDefault="0098284D" w:rsidP="0098284D"/>
    <w:p w14:paraId="4B6ADCF8" w14:textId="77777777" w:rsidR="0098284D" w:rsidRDefault="0098284D" w:rsidP="0098284D">
      <w:r>
        <w:tab/>
      </w:r>
    </w:p>
    <w:tbl>
      <w:tblPr>
        <w:tblStyle w:val="TableGrid"/>
        <w:tblW w:w="9980" w:type="dxa"/>
        <w:tblInd w:w="-490" w:type="dxa"/>
        <w:tblLook w:val="04A0" w:firstRow="1" w:lastRow="0" w:firstColumn="1" w:lastColumn="0" w:noHBand="0" w:noVBand="1"/>
      </w:tblPr>
      <w:tblGrid>
        <w:gridCol w:w="1673"/>
        <w:gridCol w:w="1741"/>
        <w:gridCol w:w="1740"/>
        <w:gridCol w:w="1740"/>
        <w:gridCol w:w="1689"/>
        <w:gridCol w:w="1397"/>
      </w:tblGrid>
      <w:tr w:rsidR="002C4654" w14:paraId="654A919F" w14:textId="77777777" w:rsidTr="002C4654">
        <w:trPr>
          <w:trHeight w:val="386"/>
        </w:trPr>
        <w:tc>
          <w:tcPr>
            <w:tcW w:w="9980" w:type="dxa"/>
            <w:gridSpan w:val="6"/>
          </w:tcPr>
          <w:p w14:paraId="6A01E211" w14:textId="52CBD63D" w:rsidR="002C4654" w:rsidRDefault="002C4654" w:rsidP="002C4654">
            <w:pPr>
              <w:jc w:val="center"/>
            </w:pPr>
            <w:r>
              <w:t>Dataset details</w:t>
            </w:r>
          </w:p>
        </w:tc>
      </w:tr>
      <w:tr w:rsidR="0098284D" w14:paraId="48435186" w14:textId="77777777" w:rsidTr="002C4654">
        <w:trPr>
          <w:trHeight w:val="986"/>
        </w:trPr>
        <w:tc>
          <w:tcPr>
            <w:tcW w:w="1673" w:type="dxa"/>
          </w:tcPr>
          <w:p w14:paraId="5DAC04C3" w14:textId="77777777" w:rsidR="0098284D" w:rsidRDefault="0098284D" w:rsidP="00A80BD9">
            <w:r>
              <w:t>dataset</w:t>
            </w:r>
          </w:p>
        </w:tc>
        <w:tc>
          <w:tcPr>
            <w:tcW w:w="1741" w:type="dxa"/>
          </w:tcPr>
          <w:p w14:paraId="2B3F918C" w14:textId="77777777" w:rsidR="0098284D" w:rsidRDefault="0098284D" w:rsidP="00A80BD9">
            <w:r>
              <w:t>#samples</w:t>
            </w:r>
          </w:p>
        </w:tc>
        <w:tc>
          <w:tcPr>
            <w:tcW w:w="1740" w:type="dxa"/>
          </w:tcPr>
          <w:p w14:paraId="40BF6021" w14:textId="77777777" w:rsidR="0098284D" w:rsidRDefault="0098284D" w:rsidP="00A80BD9">
            <w:r>
              <w:t>earliest sample</w:t>
            </w:r>
          </w:p>
        </w:tc>
        <w:tc>
          <w:tcPr>
            <w:tcW w:w="1740" w:type="dxa"/>
          </w:tcPr>
          <w:p w14:paraId="08D7BBA4" w14:textId="77777777" w:rsidR="0098284D" w:rsidRDefault="0098284D" w:rsidP="00A80BD9">
            <w:r>
              <w:t>latest sample</w:t>
            </w:r>
          </w:p>
        </w:tc>
        <w:tc>
          <w:tcPr>
            <w:tcW w:w="1689" w:type="dxa"/>
          </w:tcPr>
          <w:p w14:paraId="57463A66" w14:textId="77777777" w:rsidR="0098284D" w:rsidRDefault="0098284D" w:rsidP="00A80BD9">
            <w:r>
              <w:t>number of variable sites</w:t>
            </w:r>
          </w:p>
        </w:tc>
        <w:tc>
          <w:tcPr>
            <w:tcW w:w="1397" w:type="dxa"/>
          </w:tcPr>
          <w:p w14:paraId="3C3B4142" w14:textId="77777777" w:rsidR="0098284D" w:rsidRDefault="0098284D" w:rsidP="00A80BD9">
            <w:r>
              <w:t>where did the data come from?</w:t>
            </w:r>
          </w:p>
        </w:tc>
      </w:tr>
      <w:tr w:rsidR="0098284D" w14:paraId="4D02FAE1" w14:textId="77777777" w:rsidTr="0098284D">
        <w:trPr>
          <w:trHeight w:val="313"/>
        </w:trPr>
        <w:tc>
          <w:tcPr>
            <w:tcW w:w="1673" w:type="dxa"/>
          </w:tcPr>
          <w:p w14:paraId="599B65A2" w14:textId="77777777" w:rsidR="0098284D" w:rsidRDefault="0098284D" w:rsidP="00A80BD9">
            <w:r>
              <w:t>early 2014</w:t>
            </w:r>
          </w:p>
        </w:tc>
        <w:tc>
          <w:tcPr>
            <w:tcW w:w="1741" w:type="dxa"/>
          </w:tcPr>
          <w:p w14:paraId="3996DD88" w14:textId="77777777" w:rsidR="0098284D" w:rsidRDefault="0098284D" w:rsidP="00A80BD9">
            <w:r>
              <w:t>72</w:t>
            </w:r>
          </w:p>
        </w:tc>
        <w:tc>
          <w:tcPr>
            <w:tcW w:w="1740" w:type="dxa"/>
          </w:tcPr>
          <w:p w14:paraId="6BBD7089" w14:textId="77777777" w:rsidR="0098284D" w:rsidRDefault="0098284D" w:rsidP="00A80BD9">
            <w:r w:rsidRPr="00494736">
              <w:t>2014.455</w:t>
            </w:r>
          </w:p>
        </w:tc>
        <w:tc>
          <w:tcPr>
            <w:tcW w:w="1740" w:type="dxa"/>
          </w:tcPr>
          <w:p w14:paraId="5D933892" w14:textId="77777777" w:rsidR="0098284D" w:rsidRDefault="0098284D" w:rsidP="00A80BD9">
            <w:r w:rsidRPr="00494736">
              <w:t>2014.510</w:t>
            </w:r>
          </w:p>
        </w:tc>
        <w:tc>
          <w:tcPr>
            <w:tcW w:w="1689" w:type="dxa"/>
          </w:tcPr>
          <w:p w14:paraId="73EE1C2B" w14:textId="77777777" w:rsidR="0098284D" w:rsidRDefault="0098284D" w:rsidP="00A80BD9">
            <w:r>
              <w:t>25</w:t>
            </w:r>
          </w:p>
        </w:tc>
        <w:tc>
          <w:tcPr>
            <w:tcW w:w="1397" w:type="dxa"/>
          </w:tcPr>
          <w:p w14:paraId="10BB8360" w14:textId="77777777" w:rsidR="0098284D" w:rsidRDefault="0098284D" w:rsidP="00A80BD9">
            <w:proofErr w:type="spellStart"/>
            <w:r>
              <w:t>Gir</w:t>
            </w:r>
            <w:proofErr w:type="spellEnd"/>
            <w:r>
              <w:t xml:space="preserve"> et al 2014</w:t>
            </w:r>
          </w:p>
          <w:p w14:paraId="04ABC721" w14:textId="77777777" w:rsidR="0098284D" w:rsidRDefault="0098284D" w:rsidP="00A80BD9">
            <w:r>
              <w:t>(Stadler 2014)</w:t>
            </w:r>
          </w:p>
        </w:tc>
      </w:tr>
      <w:tr w:rsidR="0098284D" w14:paraId="1F65847B" w14:textId="77777777" w:rsidTr="0098284D">
        <w:trPr>
          <w:trHeight w:val="313"/>
        </w:trPr>
        <w:tc>
          <w:tcPr>
            <w:tcW w:w="1673" w:type="dxa"/>
          </w:tcPr>
          <w:p w14:paraId="065F64EE" w14:textId="77777777" w:rsidR="0098284D" w:rsidRDefault="0098284D" w:rsidP="00A80BD9">
            <w:r>
              <w:t>2018 public</w:t>
            </w:r>
          </w:p>
        </w:tc>
        <w:tc>
          <w:tcPr>
            <w:tcW w:w="1741" w:type="dxa"/>
          </w:tcPr>
          <w:p w14:paraId="14AFB41D" w14:textId="77777777" w:rsidR="0098284D" w:rsidRDefault="0098284D" w:rsidP="00A80BD9">
            <w:r>
              <w:t>83</w:t>
            </w:r>
          </w:p>
        </w:tc>
        <w:tc>
          <w:tcPr>
            <w:tcW w:w="1740" w:type="dxa"/>
          </w:tcPr>
          <w:p w14:paraId="339D721C" w14:textId="77777777" w:rsidR="0098284D" w:rsidRDefault="0098284D" w:rsidP="00A80BD9">
            <w:r w:rsidRPr="00494736">
              <w:t>2017.387</w:t>
            </w:r>
          </w:p>
        </w:tc>
        <w:tc>
          <w:tcPr>
            <w:tcW w:w="1740" w:type="dxa"/>
          </w:tcPr>
          <w:p w14:paraId="3A2F7124" w14:textId="77777777" w:rsidR="0098284D" w:rsidRDefault="0098284D" w:rsidP="00A80BD9">
            <w:r w:rsidRPr="00494736">
              <w:t>2018.705</w:t>
            </w:r>
          </w:p>
        </w:tc>
        <w:tc>
          <w:tcPr>
            <w:tcW w:w="1689" w:type="dxa"/>
          </w:tcPr>
          <w:p w14:paraId="49144B2B" w14:textId="77777777" w:rsidR="0098284D" w:rsidRDefault="0098284D" w:rsidP="00A80BD9">
            <w:r>
              <w:t>1342</w:t>
            </w:r>
          </w:p>
        </w:tc>
        <w:tc>
          <w:tcPr>
            <w:tcW w:w="1397" w:type="dxa"/>
          </w:tcPr>
          <w:p w14:paraId="2A948956" w14:textId="2596FAF1" w:rsidR="0098284D" w:rsidRDefault="005073DB" w:rsidP="00A80BD9">
            <w:r>
              <w:t>GenBank</w:t>
            </w:r>
          </w:p>
        </w:tc>
      </w:tr>
      <w:tr w:rsidR="0098284D" w14:paraId="09DDF1AC" w14:textId="77777777" w:rsidTr="0098284D">
        <w:trPr>
          <w:trHeight w:val="313"/>
        </w:trPr>
        <w:tc>
          <w:tcPr>
            <w:tcW w:w="1673" w:type="dxa"/>
          </w:tcPr>
          <w:p w14:paraId="14982D2A" w14:textId="77777777" w:rsidR="0098284D" w:rsidRDefault="0098284D" w:rsidP="00A80BD9">
            <w:r>
              <w:t>2014 Liberia</w:t>
            </w:r>
          </w:p>
        </w:tc>
        <w:tc>
          <w:tcPr>
            <w:tcW w:w="1741" w:type="dxa"/>
          </w:tcPr>
          <w:p w14:paraId="2D096CDD" w14:textId="77777777" w:rsidR="0098284D" w:rsidRDefault="0098284D" w:rsidP="00A80BD9">
            <w:r>
              <w:t>245</w:t>
            </w:r>
          </w:p>
        </w:tc>
        <w:tc>
          <w:tcPr>
            <w:tcW w:w="1740" w:type="dxa"/>
          </w:tcPr>
          <w:p w14:paraId="5DA2347F" w14:textId="77777777" w:rsidR="0098284D" w:rsidRDefault="0098284D" w:rsidP="00A80BD9">
            <w:r w:rsidRPr="00494736">
              <w:t>2014.310</w:t>
            </w:r>
          </w:p>
        </w:tc>
        <w:tc>
          <w:tcPr>
            <w:tcW w:w="1740" w:type="dxa"/>
          </w:tcPr>
          <w:p w14:paraId="32C4E0A7" w14:textId="77777777" w:rsidR="0098284D" w:rsidRDefault="0098284D" w:rsidP="00A80BD9">
            <w:r w:rsidRPr="00494736">
              <w:t>2015.906</w:t>
            </w:r>
          </w:p>
        </w:tc>
        <w:tc>
          <w:tcPr>
            <w:tcW w:w="1689" w:type="dxa"/>
          </w:tcPr>
          <w:p w14:paraId="45EB2B74" w14:textId="77777777" w:rsidR="0098284D" w:rsidRDefault="0098284D" w:rsidP="00A80BD9">
            <w:r w:rsidRPr="00494736">
              <w:t>2014</w:t>
            </w:r>
          </w:p>
        </w:tc>
        <w:tc>
          <w:tcPr>
            <w:tcW w:w="1397" w:type="dxa"/>
          </w:tcPr>
          <w:p w14:paraId="69EED13D" w14:textId="390D7CBA" w:rsidR="0098284D" w:rsidRPr="00494736" w:rsidRDefault="005073DB" w:rsidP="00A80BD9">
            <w:r>
              <w:t>GenBank</w:t>
            </w:r>
          </w:p>
        </w:tc>
      </w:tr>
      <w:tr w:rsidR="0098284D" w14:paraId="3D1C9290" w14:textId="77777777" w:rsidTr="0098284D">
        <w:trPr>
          <w:trHeight w:val="330"/>
        </w:trPr>
        <w:tc>
          <w:tcPr>
            <w:tcW w:w="1673" w:type="dxa"/>
          </w:tcPr>
          <w:p w14:paraId="228D052A" w14:textId="77777777" w:rsidR="0098284D" w:rsidRDefault="0098284D" w:rsidP="00A80BD9">
            <w:r>
              <w:t>2018-2019</w:t>
            </w:r>
          </w:p>
        </w:tc>
        <w:tc>
          <w:tcPr>
            <w:tcW w:w="1741" w:type="dxa"/>
          </w:tcPr>
          <w:p w14:paraId="170BE025" w14:textId="0D5F2C29" w:rsidR="0098284D" w:rsidRDefault="0098284D" w:rsidP="00A80BD9">
            <w:r>
              <w:t>45</w:t>
            </w:r>
            <w:r w:rsidR="002C4654">
              <w:t>5</w:t>
            </w:r>
          </w:p>
        </w:tc>
        <w:tc>
          <w:tcPr>
            <w:tcW w:w="1740" w:type="dxa"/>
          </w:tcPr>
          <w:p w14:paraId="3DA2B4A6" w14:textId="77777777" w:rsidR="0098284D" w:rsidRDefault="0098284D" w:rsidP="00A80BD9">
            <w:r w:rsidRPr="00494736">
              <w:t>2018.436</w:t>
            </w:r>
          </w:p>
        </w:tc>
        <w:tc>
          <w:tcPr>
            <w:tcW w:w="1740" w:type="dxa"/>
          </w:tcPr>
          <w:p w14:paraId="25F9098A" w14:textId="77777777" w:rsidR="0098284D" w:rsidRDefault="0098284D" w:rsidP="00A80BD9">
            <w:r w:rsidRPr="00494736">
              <w:t>2019.887</w:t>
            </w:r>
          </w:p>
        </w:tc>
        <w:tc>
          <w:tcPr>
            <w:tcW w:w="1689" w:type="dxa"/>
          </w:tcPr>
          <w:p w14:paraId="5DEFC6AD" w14:textId="77777777" w:rsidR="0098284D" w:rsidRDefault="0098284D" w:rsidP="00A80BD9">
            <w:r w:rsidRPr="00494736">
              <w:t>3658</w:t>
            </w:r>
          </w:p>
        </w:tc>
        <w:tc>
          <w:tcPr>
            <w:tcW w:w="1397" w:type="dxa"/>
          </w:tcPr>
          <w:p w14:paraId="52A5C8FE" w14:textId="77777777" w:rsidR="0098284D" w:rsidRPr="00494736" w:rsidRDefault="0098284D" w:rsidP="00A80BD9">
            <w:proofErr w:type="spellStart"/>
            <w:r>
              <w:t>Nexstrain</w:t>
            </w:r>
            <w:proofErr w:type="spellEnd"/>
          </w:p>
        </w:tc>
      </w:tr>
      <w:tr w:rsidR="0098284D" w14:paraId="243D2A53" w14:textId="77777777" w:rsidTr="0098284D">
        <w:trPr>
          <w:trHeight w:val="297"/>
        </w:trPr>
        <w:tc>
          <w:tcPr>
            <w:tcW w:w="1673" w:type="dxa"/>
          </w:tcPr>
          <w:p w14:paraId="0C2F736F" w14:textId="77777777" w:rsidR="0098284D" w:rsidRDefault="0098284D" w:rsidP="00A80BD9">
            <w:r>
              <w:t>large 2014</w:t>
            </w:r>
          </w:p>
        </w:tc>
        <w:tc>
          <w:tcPr>
            <w:tcW w:w="1741" w:type="dxa"/>
          </w:tcPr>
          <w:p w14:paraId="136C29FE" w14:textId="77777777" w:rsidR="0098284D" w:rsidRDefault="0098284D" w:rsidP="00A80BD9">
            <w:r>
              <w:t>2013</w:t>
            </w:r>
          </w:p>
        </w:tc>
        <w:tc>
          <w:tcPr>
            <w:tcW w:w="1740" w:type="dxa"/>
          </w:tcPr>
          <w:p w14:paraId="37939F62" w14:textId="77777777" w:rsidR="0098284D" w:rsidRDefault="0098284D" w:rsidP="00A80BD9">
            <w:r w:rsidRPr="00494736">
              <w:t>2014.258</w:t>
            </w:r>
          </w:p>
        </w:tc>
        <w:tc>
          <w:tcPr>
            <w:tcW w:w="1740" w:type="dxa"/>
          </w:tcPr>
          <w:p w14:paraId="35564F97" w14:textId="77777777" w:rsidR="0098284D" w:rsidRDefault="0098284D" w:rsidP="00A80BD9">
            <w:r w:rsidRPr="00494736">
              <w:t>2017.403</w:t>
            </w:r>
          </w:p>
        </w:tc>
        <w:tc>
          <w:tcPr>
            <w:tcW w:w="1689" w:type="dxa"/>
          </w:tcPr>
          <w:p w14:paraId="4B38174A" w14:textId="77777777" w:rsidR="0098284D" w:rsidRDefault="0098284D" w:rsidP="00A80BD9">
            <w:r w:rsidRPr="006624D4">
              <w:t>6749</w:t>
            </w:r>
          </w:p>
        </w:tc>
        <w:tc>
          <w:tcPr>
            <w:tcW w:w="1397" w:type="dxa"/>
          </w:tcPr>
          <w:p w14:paraId="41E25E01" w14:textId="77777777" w:rsidR="0098284D" w:rsidRPr="0030248C" w:rsidRDefault="0098284D" w:rsidP="00A80BD9"/>
        </w:tc>
      </w:tr>
      <w:tr w:rsidR="0098284D" w14:paraId="4C98E692" w14:textId="77777777" w:rsidTr="004525AA">
        <w:trPr>
          <w:trHeight w:val="297"/>
        </w:trPr>
        <w:tc>
          <w:tcPr>
            <w:tcW w:w="9980" w:type="dxa"/>
            <w:gridSpan w:val="6"/>
          </w:tcPr>
          <w:p w14:paraId="234942EB" w14:textId="1CA7C2D9" w:rsidR="0098284D" w:rsidRPr="0030248C" w:rsidRDefault="0098284D" w:rsidP="00A80BD9">
            <w:r>
              <w:t>Ebola 2018-2019 dataset</w:t>
            </w:r>
            <w:r>
              <w:sym w:font="Wingdings" w:char="F0E0"/>
            </w:r>
            <w:r>
              <w:t>subsets</w:t>
            </w:r>
          </w:p>
        </w:tc>
      </w:tr>
      <w:tr w:rsidR="005073DB" w14:paraId="7CC321F5" w14:textId="77777777" w:rsidTr="0098284D">
        <w:trPr>
          <w:trHeight w:val="297"/>
        </w:trPr>
        <w:tc>
          <w:tcPr>
            <w:tcW w:w="1673" w:type="dxa"/>
          </w:tcPr>
          <w:p w14:paraId="3D027370" w14:textId="1BDA9B76" w:rsidR="005073DB" w:rsidRDefault="005073DB" w:rsidP="005073DB">
            <w:r>
              <w:t>1</w:t>
            </w:r>
          </w:p>
        </w:tc>
        <w:tc>
          <w:tcPr>
            <w:tcW w:w="1741" w:type="dxa"/>
          </w:tcPr>
          <w:p w14:paraId="22136E40" w14:textId="03BFE333" w:rsidR="005073DB" w:rsidRDefault="005073DB" w:rsidP="005073DB">
            <w:r w:rsidRPr="0098284D">
              <w:t>224</w:t>
            </w:r>
          </w:p>
        </w:tc>
        <w:tc>
          <w:tcPr>
            <w:tcW w:w="1740" w:type="dxa"/>
          </w:tcPr>
          <w:p w14:paraId="5E794991" w14:textId="3DD9397A" w:rsidR="005073DB" w:rsidRPr="00494736" w:rsidRDefault="005073DB" w:rsidP="005073DB">
            <w:r w:rsidRPr="0098284D">
              <w:t>2018.81</w:t>
            </w:r>
          </w:p>
        </w:tc>
        <w:tc>
          <w:tcPr>
            <w:tcW w:w="1740" w:type="dxa"/>
          </w:tcPr>
          <w:p w14:paraId="6E0821FB" w14:textId="33A7311F" w:rsidR="005073DB" w:rsidRPr="00494736" w:rsidRDefault="005073DB" w:rsidP="005073DB">
            <w:r w:rsidRPr="0098284D">
              <w:t>2019.88</w:t>
            </w:r>
          </w:p>
        </w:tc>
        <w:tc>
          <w:tcPr>
            <w:tcW w:w="1689" w:type="dxa"/>
          </w:tcPr>
          <w:p w14:paraId="490C8003" w14:textId="00FD7ABA" w:rsidR="005073DB" w:rsidRPr="006624D4" w:rsidRDefault="005073DB" w:rsidP="005073DB">
            <w:r w:rsidRPr="0098284D">
              <w:t>1675</w:t>
            </w:r>
          </w:p>
        </w:tc>
        <w:tc>
          <w:tcPr>
            <w:tcW w:w="1397" w:type="dxa"/>
            <w:vMerge w:val="restart"/>
          </w:tcPr>
          <w:p w14:paraId="7F97C73B" w14:textId="3598CB7C" w:rsidR="005073DB" w:rsidRPr="0030248C" w:rsidRDefault="005073DB" w:rsidP="005073DB">
            <w:proofErr w:type="spellStart"/>
            <w:r>
              <w:t>Nexstrain</w:t>
            </w:r>
            <w:proofErr w:type="spellEnd"/>
          </w:p>
        </w:tc>
      </w:tr>
      <w:tr w:rsidR="005073DB" w14:paraId="5BE7EA6E" w14:textId="77777777" w:rsidTr="0098284D">
        <w:trPr>
          <w:trHeight w:val="297"/>
        </w:trPr>
        <w:tc>
          <w:tcPr>
            <w:tcW w:w="1673" w:type="dxa"/>
          </w:tcPr>
          <w:p w14:paraId="2D2C36C0" w14:textId="2C8AC281" w:rsidR="005073DB" w:rsidRDefault="005073DB" w:rsidP="005073DB">
            <w:r>
              <w:t>2</w:t>
            </w:r>
          </w:p>
        </w:tc>
        <w:tc>
          <w:tcPr>
            <w:tcW w:w="1741" w:type="dxa"/>
          </w:tcPr>
          <w:p w14:paraId="143D2384" w14:textId="7ECF7CC3" w:rsidR="005073DB" w:rsidRDefault="005073DB" w:rsidP="005073DB">
            <w:r w:rsidRPr="0098284D">
              <w:t>98</w:t>
            </w:r>
          </w:p>
        </w:tc>
        <w:tc>
          <w:tcPr>
            <w:tcW w:w="1740" w:type="dxa"/>
          </w:tcPr>
          <w:p w14:paraId="08884889" w14:textId="7EBC4BD2" w:rsidR="005073DB" w:rsidRPr="00494736" w:rsidRDefault="005073DB" w:rsidP="005073DB">
            <w:r w:rsidRPr="0098284D">
              <w:t>2018.64</w:t>
            </w:r>
          </w:p>
        </w:tc>
        <w:tc>
          <w:tcPr>
            <w:tcW w:w="1740" w:type="dxa"/>
          </w:tcPr>
          <w:p w14:paraId="6F53717B" w14:textId="3DFFEE69" w:rsidR="005073DB" w:rsidRPr="00494736" w:rsidRDefault="005073DB" w:rsidP="005073DB">
            <w:r w:rsidRPr="0098284D">
              <w:t>2019.67</w:t>
            </w:r>
          </w:p>
        </w:tc>
        <w:tc>
          <w:tcPr>
            <w:tcW w:w="1689" w:type="dxa"/>
          </w:tcPr>
          <w:p w14:paraId="6F3560FC" w14:textId="73B846F1" w:rsidR="005073DB" w:rsidRPr="006624D4" w:rsidRDefault="005073DB" w:rsidP="005073DB">
            <w:r w:rsidRPr="0098284D">
              <w:t>1829</w:t>
            </w:r>
          </w:p>
        </w:tc>
        <w:tc>
          <w:tcPr>
            <w:tcW w:w="1397" w:type="dxa"/>
            <w:vMerge/>
          </w:tcPr>
          <w:p w14:paraId="6DD69390" w14:textId="77777777" w:rsidR="005073DB" w:rsidRPr="0030248C" w:rsidRDefault="005073DB" w:rsidP="005073DB"/>
        </w:tc>
      </w:tr>
      <w:tr w:rsidR="005073DB" w14:paraId="384DCDBD" w14:textId="77777777" w:rsidTr="0098284D">
        <w:trPr>
          <w:trHeight w:val="297"/>
        </w:trPr>
        <w:tc>
          <w:tcPr>
            <w:tcW w:w="1673" w:type="dxa"/>
          </w:tcPr>
          <w:p w14:paraId="0EF5F7AA" w14:textId="62549106" w:rsidR="005073DB" w:rsidRDefault="005073DB" w:rsidP="005073DB">
            <w:r>
              <w:t>3</w:t>
            </w:r>
          </w:p>
        </w:tc>
        <w:tc>
          <w:tcPr>
            <w:tcW w:w="1741" w:type="dxa"/>
          </w:tcPr>
          <w:p w14:paraId="0D2ADB46" w14:textId="4183119D" w:rsidR="005073DB" w:rsidRDefault="005073DB" w:rsidP="005073DB">
            <w:r w:rsidRPr="0098284D">
              <w:t>133</w:t>
            </w:r>
          </w:p>
        </w:tc>
        <w:tc>
          <w:tcPr>
            <w:tcW w:w="1740" w:type="dxa"/>
          </w:tcPr>
          <w:p w14:paraId="402ACDD8" w14:textId="70FD7412" w:rsidR="005073DB" w:rsidRPr="00494736" w:rsidRDefault="005073DB" w:rsidP="005073DB">
            <w:r w:rsidRPr="0098284D">
              <w:t>2018.61</w:t>
            </w:r>
          </w:p>
        </w:tc>
        <w:tc>
          <w:tcPr>
            <w:tcW w:w="1740" w:type="dxa"/>
          </w:tcPr>
          <w:p w14:paraId="4527A0E6" w14:textId="3ECA6599" w:rsidR="005073DB" w:rsidRPr="00494736" w:rsidRDefault="005073DB" w:rsidP="005073DB">
            <w:r w:rsidRPr="0098284D">
              <w:t>2019.71</w:t>
            </w:r>
          </w:p>
        </w:tc>
        <w:tc>
          <w:tcPr>
            <w:tcW w:w="1689" w:type="dxa"/>
          </w:tcPr>
          <w:p w14:paraId="1C5471B2" w14:textId="4648C13B" w:rsidR="005073DB" w:rsidRPr="006624D4" w:rsidRDefault="005073DB" w:rsidP="005073DB">
            <w:r w:rsidRPr="0098284D">
              <w:t>316</w:t>
            </w:r>
          </w:p>
        </w:tc>
        <w:tc>
          <w:tcPr>
            <w:tcW w:w="1397" w:type="dxa"/>
            <w:vMerge/>
          </w:tcPr>
          <w:p w14:paraId="6E9A80D8" w14:textId="77777777" w:rsidR="005073DB" w:rsidRPr="0030248C" w:rsidRDefault="005073DB" w:rsidP="005073DB"/>
        </w:tc>
      </w:tr>
    </w:tbl>
    <w:p w14:paraId="598D8373" w14:textId="4584C55F" w:rsidR="0098284D" w:rsidRDefault="0098284D" w:rsidP="0098284D"/>
    <w:p w14:paraId="1194A8B4" w14:textId="6D6E8EF9" w:rsidR="002C4654" w:rsidRDefault="002C4654" w:rsidP="0098284D">
      <w:r>
        <w:t>Models</w:t>
      </w:r>
      <w:r w:rsidR="00251FA8">
        <w:t>:</w:t>
      </w:r>
    </w:p>
    <w:p w14:paraId="2B339A0F" w14:textId="37896BB9" w:rsidR="002C4654" w:rsidRDefault="002C4654" w:rsidP="0098284D">
      <w:r>
        <w:sym w:font="Wingdings" w:char="F0E0"/>
      </w:r>
      <w:r>
        <w:t>Strict clock, Isochronous</w:t>
      </w:r>
    </w:p>
    <w:p w14:paraId="2DF6744C" w14:textId="3C84FF64" w:rsidR="002C4654" w:rsidRDefault="002C4654" w:rsidP="0098284D">
      <w:r>
        <w:sym w:font="Wingdings" w:char="F0E0"/>
      </w:r>
      <w:r>
        <w:t>Strict clock, Heterochronous</w:t>
      </w:r>
    </w:p>
    <w:p w14:paraId="64CE25D5" w14:textId="22D64EB6" w:rsidR="002C4654" w:rsidRDefault="002C4654" w:rsidP="0098284D">
      <w:r>
        <w:sym w:font="Wingdings" w:char="F0E0"/>
      </w:r>
      <w:r>
        <w:t>Relaxed clock, Isochronous</w:t>
      </w:r>
    </w:p>
    <w:p w14:paraId="1296622E" w14:textId="6DC13DCC" w:rsidR="002C4654" w:rsidRDefault="002C4654" w:rsidP="0098284D">
      <w:r>
        <w:sym w:font="Wingdings" w:char="F0E0"/>
      </w:r>
      <w:r>
        <w:t>Relaxed clock, Heterochronous</w:t>
      </w:r>
    </w:p>
    <w:p w14:paraId="296CBF82" w14:textId="4BFBB691" w:rsidR="0019282D" w:rsidRDefault="0019282D" w:rsidP="0098284D"/>
    <w:p w14:paraId="4FA62B3A" w14:textId="7C9CE6BB" w:rsidR="0098284D" w:rsidRDefault="008656A6" w:rsidP="0098284D">
      <w:r>
        <w:t>Beast set up:</w:t>
      </w:r>
    </w:p>
    <w:p w14:paraId="7DA946DA" w14:textId="3109980E" w:rsidR="008656A6" w:rsidRDefault="008656A6" w:rsidP="008656A6">
      <w:r>
        <w:sym w:font="Wingdings" w:char="F0E0"/>
      </w:r>
      <w:r>
        <w:t>Tip dates:</w:t>
      </w:r>
      <w:r w:rsidR="00A70467">
        <w:t xml:space="preserve"> (use of sampling times for molecular clock calibration)</w:t>
      </w:r>
    </w:p>
    <w:p w14:paraId="7113731B" w14:textId="30266CC0" w:rsidR="008656A6" w:rsidRDefault="008656A6" w:rsidP="008656A6">
      <w:r>
        <w:t>-In heterochronous trees, information about the tip dates was included. This was used to calibrate the molecular clock</w:t>
      </w:r>
      <w:r w:rsidR="00A70467">
        <w:t>, enabling the</w:t>
      </w:r>
      <w:r>
        <w:t xml:space="preserve"> estimation of substitution rates over a specific time scale.</w:t>
      </w:r>
    </w:p>
    <w:p w14:paraId="528934EF" w14:textId="14B96483" w:rsidR="008656A6" w:rsidRDefault="008656A6" w:rsidP="008656A6">
      <w:r>
        <w:t xml:space="preserve">-Isochronous trees </w:t>
      </w:r>
      <w:r w:rsidR="00A70467">
        <w:t>don’t have sufficient temporal signal, so the calibration of the molecular clock using sampling times is not favoured.</w:t>
      </w:r>
      <w:r w:rsidR="00F512FF">
        <w:t xml:space="preserve"> In this case the molecular clock provides estimates of the divergence times.</w:t>
      </w:r>
    </w:p>
    <w:p w14:paraId="22DAD3D6" w14:textId="3FFD77AF" w:rsidR="00A70467" w:rsidRDefault="00A70467" w:rsidP="008656A6"/>
    <w:p w14:paraId="79E53E3A" w14:textId="3507A267" w:rsidR="00A70467" w:rsidRDefault="00A70467" w:rsidP="008656A6">
      <w:r>
        <w:sym w:font="Wingdings" w:char="F0E0"/>
      </w:r>
      <w:r>
        <w:t>Sites (substitution rate model selection)</w:t>
      </w:r>
    </w:p>
    <w:p w14:paraId="00EE286E" w14:textId="0D636024" w:rsidR="00A70467" w:rsidRDefault="00A70467" w:rsidP="008656A6">
      <w:r>
        <w:t xml:space="preserve">HKY model: </w:t>
      </w:r>
    </w:p>
    <w:p w14:paraId="386C0BD0" w14:textId="0E6BFE05" w:rsidR="00A70467" w:rsidRDefault="00A70467" w:rsidP="008656A6">
      <w:r>
        <w:t xml:space="preserve">-This model predicts different </w:t>
      </w:r>
      <w:r w:rsidR="00801EA7">
        <w:t>substitution rates between the four nucleotides</w:t>
      </w:r>
      <w:r>
        <w:t xml:space="preserve">, that are expressed by the </w:t>
      </w:r>
      <w:r w:rsidR="00801EA7">
        <w:t xml:space="preserve">parameter kappa (transitions/transversions). The base frequencies were calculated using empirical data, derived from the prior. </w:t>
      </w:r>
      <w:r w:rsidR="000C4D32">
        <w:t>A discrete gamma distribution, with 4 rate categories, was used to describe site heterogeneity.</w:t>
      </w:r>
      <w:r w:rsidR="00EB6255">
        <w:t xml:space="preserve"> </w:t>
      </w:r>
      <w:bookmarkStart w:id="0" w:name="_GoBack"/>
      <w:bookmarkEnd w:id="0"/>
    </w:p>
    <w:p w14:paraId="5FFCBBD7" w14:textId="7DBEFF84" w:rsidR="00EB6255" w:rsidRDefault="00EB6255" w:rsidP="008656A6"/>
    <w:p w14:paraId="235D780C" w14:textId="01561EE8" w:rsidR="00EB6255" w:rsidRDefault="00EB6255" w:rsidP="008656A6">
      <w:r>
        <w:sym w:font="Wingdings" w:char="F0E0"/>
      </w:r>
      <w:r>
        <w:t xml:space="preserve">Clocks: (assumes a </w:t>
      </w:r>
      <w:r w:rsidR="0092060B">
        <w:t>constant rate of evolution among lineages that can be used to estimate the timing of divergence events)</w:t>
      </w:r>
    </w:p>
    <w:p w14:paraId="24A9314D" w14:textId="417A8CD9" w:rsidR="00EB6255" w:rsidRDefault="00EB6255" w:rsidP="008656A6">
      <w:r>
        <w:t xml:space="preserve">-The strict clock is the simplest </w:t>
      </w:r>
      <w:r w:rsidR="0092060B">
        <w:t>form of molecular clock. It</w:t>
      </w:r>
      <w:r>
        <w:t xml:space="preserve"> assumes homogenous rates among branches and its only parameter is the rate of evolution (substitution rate/ site)</w:t>
      </w:r>
      <w:r w:rsidR="0092060B">
        <w:t>.</w:t>
      </w:r>
      <w:r w:rsidR="00392261">
        <w:t xml:space="preserve"> This </w:t>
      </w:r>
      <w:r w:rsidR="00392261">
        <w:lastRenderedPageBreak/>
        <w:t>can be a good model for sequence data for which we expect low rate variation among branches (conspecific individuals).</w:t>
      </w:r>
    </w:p>
    <w:p w14:paraId="5460D215" w14:textId="50B77ED3" w:rsidR="0092060B" w:rsidRDefault="0092060B" w:rsidP="008656A6">
      <w:r>
        <w:t xml:space="preserve">-The relaxed molecular clock assumes variation among branch specific rates. In this study, an uncorrelated relaxed clock was selected. In this model </w:t>
      </w:r>
      <w:r w:rsidR="00F512FF">
        <w:t>the rate between neighbouring branches is independent. The branch specific rates were sampled from a lognormal distribution that suggests that the branch specific rates are clustered over a mean value</w:t>
      </w:r>
    </w:p>
    <w:p w14:paraId="2A894C5B" w14:textId="6C5AF37B" w:rsidR="00354463" w:rsidRDefault="00354463" w:rsidP="008656A6">
      <w:r>
        <w:t>-Heterochronous trees: If the temporal signal of these trees is sufficient (temporal span of samples is long enough to allow accumulation of genetic variation) the ages of the samples are used for calibration.</w:t>
      </w:r>
    </w:p>
    <w:p w14:paraId="21B6DCC3" w14:textId="7F3FE9D8" w:rsidR="00354463" w:rsidRDefault="00354463" w:rsidP="008656A6"/>
    <w:p w14:paraId="51FB0ED6" w14:textId="37C8D5FE" w:rsidR="00354463" w:rsidRDefault="00354463" w:rsidP="008656A6">
      <w:r>
        <w:sym w:font="Wingdings" w:char="F0E0"/>
      </w:r>
      <w:r w:rsidR="00392261">
        <w:t>Trees:</w:t>
      </w:r>
    </w:p>
    <w:p w14:paraId="2EC64066" w14:textId="0210B1BA" w:rsidR="00392261" w:rsidRDefault="00392261" w:rsidP="008656A6">
      <w:r>
        <w:t>A coalescent</w:t>
      </w:r>
      <w:r w:rsidR="00251FA8">
        <w:t>-</w:t>
      </w:r>
      <w:r>
        <w:t xml:space="preserve">exponential growth model was chosen for the tree prior. </w:t>
      </w:r>
      <w:r w:rsidR="007720A8">
        <w:t>This model</w:t>
      </w:r>
      <w:r>
        <w:t xml:space="preserve"> suggests that gene variants sampled from a population </w:t>
      </w:r>
      <w:r w:rsidR="007720A8">
        <w:t>have originated from a common ancestor and that the population expands overtime.</w:t>
      </w:r>
    </w:p>
    <w:p w14:paraId="557EF0D4" w14:textId="01E9E112" w:rsidR="00251FA8" w:rsidRDefault="00251FA8" w:rsidP="008656A6"/>
    <w:p w14:paraId="046C10D0" w14:textId="1E0B84F1" w:rsidR="00251FA8" w:rsidRDefault="00251FA8" w:rsidP="008656A6">
      <w:r>
        <w:sym w:font="Wingdings" w:char="F0E0"/>
      </w:r>
      <w:r>
        <w:t>Priors:</w:t>
      </w:r>
    </w:p>
    <w:p w14:paraId="3AF7C28E" w14:textId="3D4AAE12" w:rsidR="00251FA8" w:rsidRDefault="00487D6D" w:rsidP="008656A6">
      <w:r>
        <w:t>-</w:t>
      </w:r>
      <w:r w:rsidR="00251FA8">
        <w:t>Kappa (</w:t>
      </w:r>
      <w:r>
        <w:t xml:space="preserve">HKY </w:t>
      </w:r>
      <w:r w:rsidR="00251FA8">
        <w:t xml:space="preserve">transition/transversion </w:t>
      </w:r>
      <w:r>
        <w:t>parameter</w:t>
      </w:r>
      <w:r w:rsidR="00251FA8">
        <w:t>): lognormal distribution</w:t>
      </w:r>
    </w:p>
    <w:p w14:paraId="790EE6D8" w14:textId="5370CB99" w:rsidR="00251FA8" w:rsidRDefault="00487D6D" w:rsidP="008656A6">
      <w:r>
        <w:t>-</w:t>
      </w:r>
      <w:r w:rsidR="00251FA8">
        <w:t>Alpha</w:t>
      </w:r>
      <w:r>
        <w:t>: The shape parameter of the gamma distribution. High alpha means that most sites evolve with the same rate and low alpha means that substitution rates among sites are different. An exponential distribution was chosen for this parameter.</w:t>
      </w:r>
    </w:p>
    <w:p w14:paraId="293F9050" w14:textId="0DF46C9B" w:rsidR="00487D6D" w:rsidRDefault="00487D6D" w:rsidP="008656A6">
      <w:r>
        <w:t>-Tree model root height: The root height of the tree is estimated using the tree prior</w:t>
      </w:r>
    </w:p>
    <w:p w14:paraId="1037DCF1" w14:textId="39CC6930" w:rsidR="00A06DAE" w:rsidRDefault="00487D6D" w:rsidP="00A06DAE">
      <w:r>
        <w:t>-Exponential population size</w:t>
      </w:r>
      <w:r w:rsidR="00213351">
        <w:t>: Uniform distribution was chosen with bounds between 0 and 0.5.</w:t>
      </w:r>
      <w:r w:rsidR="00A06DAE">
        <w:t xml:space="preserve"> We specify these bounds because the rate of substitution for viruses falls within 10</w:t>
      </w:r>
      <w:r w:rsidR="00A06DAE">
        <w:rPr>
          <w:vertAlign w:val="superscript"/>
        </w:rPr>
        <w:t>-2</w:t>
      </w:r>
      <w:r w:rsidR="00A06DAE">
        <w:t xml:space="preserve"> to 10</w:t>
      </w:r>
      <w:r w:rsidR="00A06DAE">
        <w:rPr>
          <w:vertAlign w:val="superscript"/>
        </w:rPr>
        <w:t>-5</w:t>
      </w:r>
      <w:r w:rsidR="00A06DAE">
        <w:t xml:space="preserve"> range, so we don’t expect it to go above 0.5.</w:t>
      </w:r>
    </w:p>
    <w:p w14:paraId="5B3391CB" w14:textId="220A7866" w:rsidR="00A06DAE" w:rsidRDefault="00A06DAE" w:rsidP="00A06DAE">
      <w:r>
        <w:t>-</w:t>
      </w:r>
      <w:r w:rsidRPr="00A06DAE">
        <w:t xml:space="preserve"> </w:t>
      </w:r>
      <w:r>
        <w:t>Exponential growth rate: Laplace distribution</w:t>
      </w:r>
    </w:p>
    <w:p w14:paraId="06B9B637" w14:textId="7B5D70C1" w:rsidR="00A06DAE" w:rsidRDefault="00A06DAE" w:rsidP="00A06DAE">
      <w:r>
        <w:t>-Clock rate (substitution rate): Prior for strict clock models that has a fixed value.</w:t>
      </w:r>
    </w:p>
    <w:p w14:paraId="4ABB91FA" w14:textId="324756DC" w:rsidR="00A06DAE" w:rsidRDefault="00A06DAE" w:rsidP="00A06DAE">
      <w:r>
        <w:t>-Ucld mean: Prior for relaxed clock model that has a fixed value.</w:t>
      </w:r>
    </w:p>
    <w:p w14:paraId="30B44054" w14:textId="088A1C8E" w:rsidR="0098284D" w:rsidRDefault="00A06DAE" w:rsidP="00EE61AA">
      <w:r>
        <w:t>-Ucld standard deviation: Prior for relaxed clock model with an exponential distribution</w:t>
      </w:r>
    </w:p>
    <w:p w14:paraId="35763320" w14:textId="12942DAA" w:rsidR="00EE61AA" w:rsidRDefault="00EE61AA" w:rsidP="00EE61AA"/>
    <w:p w14:paraId="59A8A0D5" w14:textId="497BCA7D" w:rsidR="00EE61AA" w:rsidRDefault="00EE61AA" w:rsidP="00EE61AA">
      <w:r>
        <w:sym w:font="Wingdings" w:char="F0E0"/>
      </w:r>
      <w:r>
        <w:t>Marginal likelihood esti</w:t>
      </w:r>
      <w:r w:rsidR="00DC183F">
        <w:t>mation (MLE)</w:t>
      </w:r>
    </w:p>
    <w:p w14:paraId="2D1404F6" w14:textId="24A2F70B" w:rsidR="00DC183F" w:rsidRDefault="00DC183F" w:rsidP="00EE61AA">
      <w:r>
        <w:t>The</w:t>
      </w:r>
      <w:r w:rsidR="00AF5DD7">
        <w:t xml:space="preserve"> posterior and prior are very divergent, with the posterior being more peaked due to the effect of the likelihood.</w:t>
      </w:r>
    </w:p>
    <w:p w14:paraId="4E5D08C5" w14:textId="142B316D" w:rsidR="00DC183F" w:rsidRDefault="00DC183F" w:rsidP="00AF5DD7">
      <w:r>
        <w:t>Generalised steppingstone sampling</w:t>
      </w:r>
      <w:r w:rsidR="00AF5DD7">
        <w:t xml:space="preserve"> (GSS)</w:t>
      </w:r>
      <w:r>
        <w:t xml:space="preserve">: Estimates marginal likelihood by taking many small steps from a reference distribution that </w:t>
      </w:r>
      <w:r w:rsidR="00AF5DD7">
        <w:t>covers the same parameter space as the posterior. The closer the reference is to the posterior the, the easier it is to estimate the marginal likelihood. GSS uses samples from a series of power-posterior distributions in between the reference and the posterior, that makes the estimation of the marginal likelihood more accurate. It is considered to be the most accurate estimator of the marginal likelihood.</w:t>
      </w:r>
    </w:p>
    <w:p w14:paraId="5813E31C" w14:textId="58D1A9A5" w:rsidR="00CD43F7" w:rsidRDefault="00CD43F7" w:rsidP="00AF5DD7"/>
    <w:p w14:paraId="54B96DB3" w14:textId="1724B6C4" w:rsidR="00913219" w:rsidRDefault="00913219" w:rsidP="00913219">
      <w:r>
        <w:t>2018 Public dataset:</w:t>
      </w:r>
      <w:r>
        <w:t xml:space="preserve"> </w:t>
      </w:r>
      <w:r>
        <w:t>Best model</w:t>
      </w:r>
      <w:r>
        <w:sym w:font="Wingdings" w:char="F0E0"/>
      </w:r>
      <w:r>
        <w:t xml:space="preserve"> Relaxed clock + Isochronous</w:t>
      </w:r>
    </w:p>
    <w:p w14:paraId="68B24C9C" w14:textId="77777777" w:rsidR="00913219" w:rsidRDefault="00913219" w:rsidP="00913219"/>
    <w:p w14:paraId="23476227" w14:textId="47B9BB7A" w:rsidR="00913219" w:rsidRDefault="00913219" w:rsidP="00913219">
      <w:r>
        <w:t>Early 2014 dataset:</w:t>
      </w:r>
      <w:r>
        <w:t xml:space="preserve"> </w:t>
      </w:r>
      <w:r>
        <w:t>Best model</w:t>
      </w:r>
      <w:r>
        <w:sym w:font="Wingdings" w:char="F0E0"/>
      </w:r>
      <w:r>
        <w:t>Strict clock + Heterochronous</w:t>
      </w:r>
    </w:p>
    <w:p w14:paraId="64008853" w14:textId="77777777" w:rsidR="00913219" w:rsidRDefault="00913219" w:rsidP="00913219"/>
    <w:p w14:paraId="37A1C8D4" w14:textId="0C030488" w:rsidR="00913219" w:rsidRDefault="00913219" w:rsidP="00913219">
      <w:r>
        <w:t>2014 Liberia dataset:</w:t>
      </w:r>
      <w:r>
        <w:t xml:space="preserve"> </w:t>
      </w:r>
      <w:r>
        <w:t>Best model</w:t>
      </w:r>
      <w:r>
        <w:sym w:font="Wingdings" w:char="F0E0"/>
      </w:r>
      <w:r>
        <w:t>Relaxed clock + Heterochronous</w:t>
      </w:r>
    </w:p>
    <w:p w14:paraId="7E6606F0" w14:textId="77777777" w:rsidR="00913219" w:rsidRDefault="00913219" w:rsidP="00AF5DD7"/>
    <w:p w14:paraId="18DA1B6B" w14:textId="77777777" w:rsidR="00CD43F7" w:rsidRPr="0098284D" w:rsidRDefault="00CD43F7" w:rsidP="00AF5DD7"/>
    <w:sectPr w:rsidR="00CD43F7" w:rsidRPr="0098284D" w:rsidSect="00D10B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D4F50"/>
    <w:multiLevelType w:val="hybridMultilevel"/>
    <w:tmpl w:val="D99251AA"/>
    <w:lvl w:ilvl="0" w:tplc="907457AE">
      <w:start w:val="20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71"/>
    <w:rsid w:val="000C4D32"/>
    <w:rsid w:val="0019282D"/>
    <w:rsid w:val="00213351"/>
    <w:rsid w:val="002341F0"/>
    <w:rsid w:val="00251FA8"/>
    <w:rsid w:val="002C4654"/>
    <w:rsid w:val="00354463"/>
    <w:rsid w:val="00392261"/>
    <w:rsid w:val="00487D6D"/>
    <w:rsid w:val="005073DB"/>
    <w:rsid w:val="00595D2A"/>
    <w:rsid w:val="007720A8"/>
    <w:rsid w:val="00801EA7"/>
    <w:rsid w:val="00863824"/>
    <w:rsid w:val="008656A6"/>
    <w:rsid w:val="008F3DA3"/>
    <w:rsid w:val="00913219"/>
    <w:rsid w:val="0092060B"/>
    <w:rsid w:val="009437AA"/>
    <w:rsid w:val="0098284D"/>
    <w:rsid w:val="00A06DAE"/>
    <w:rsid w:val="00A70467"/>
    <w:rsid w:val="00AE6785"/>
    <w:rsid w:val="00AF5DD7"/>
    <w:rsid w:val="00C76271"/>
    <w:rsid w:val="00CD43F7"/>
    <w:rsid w:val="00D10BE4"/>
    <w:rsid w:val="00DC183F"/>
    <w:rsid w:val="00EB6255"/>
    <w:rsid w:val="00EE61AA"/>
    <w:rsid w:val="00F512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950F707"/>
  <w15:chartTrackingRefBased/>
  <w15:docId w15:val="{8B5EB641-0930-0C4F-BD07-0B10F7C8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28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28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Haritopoulou-Sinanid</dc:creator>
  <cp:keywords/>
  <dc:description/>
  <cp:lastModifiedBy>Melina Haritopoulou-Sinanid</cp:lastModifiedBy>
  <cp:revision>7</cp:revision>
  <dcterms:created xsi:type="dcterms:W3CDTF">2019-12-12T03:39:00Z</dcterms:created>
  <dcterms:modified xsi:type="dcterms:W3CDTF">2019-12-16T02:58:00Z</dcterms:modified>
</cp:coreProperties>
</file>