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107" w:after="0"/>
        <w:rPr/>
      </w:pPr>
      <w:r>
        <w:rPr>
          <w:color w:val="335989"/>
        </w:rPr>
        <w:t>Assessing</w:t>
      </w:r>
      <w:r>
        <w:rPr>
          <w:color w:val="335989"/>
          <w:spacing w:val="-10"/>
        </w:rPr>
        <w:t xml:space="preserve"> </w:t>
      </w:r>
      <w:r>
        <w:rPr>
          <w:color w:val="335989"/>
        </w:rPr>
        <w:t>extinction</w:t>
      </w:r>
      <w:r>
        <w:rPr>
          <w:color w:val="335989"/>
          <w:spacing w:val="-10"/>
        </w:rPr>
        <w:t xml:space="preserve"> </w:t>
      </w:r>
      <w:r>
        <w:rPr>
          <w:color w:val="335989"/>
        </w:rPr>
        <w:t>dynamics</w:t>
      </w:r>
      <w:r>
        <w:rPr>
          <w:color w:val="335989"/>
          <w:spacing w:val="-10"/>
        </w:rPr>
        <w:t xml:space="preserve"> </w:t>
      </w:r>
      <w:r>
        <w:rPr>
          <w:color w:val="335989"/>
        </w:rPr>
        <w:t>in</w:t>
      </w:r>
      <w:r>
        <w:rPr>
          <w:color w:val="335989"/>
          <w:spacing w:val="-10"/>
        </w:rPr>
        <w:t xml:space="preserve"> </w:t>
      </w:r>
      <w:r>
        <w:rPr>
          <w:color w:val="335989"/>
        </w:rPr>
        <w:t>changing</w:t>
      </w:r>
      <w:r>
        <w:rPr>
          <w:color w:val="335989"/>
          <w:spacing w:val="-10"/>
        </w:rPr>
        <w:t xml:space="preserve"> </w:t>
      </w:r>
      <w:r>
        <w:rPr>
          <w:color w:val="335989"/>
        </w:rPr>
        <w:t>metacommunities:</w:t>
      </w:r>
      <w:r>
        <w:rPr>
          <w:color w:val="335989"/>
          <w:spacing w:val="-10"/>
        </w:rPr>
        <w:t xml:space="preserve"> </w:t>
      </w:r>
      <w:r>
        <w:rPr>
          <w:color w:val="335989"/>
        </w:rPr>
        <w:t>a case study of the Guadalquivir river basin</w:t>
      </w:r>
    </w:p>
    <w:p>
      <w:pPr>
        <w:pStyle w:val="TextBody"/>
        <w:spacing w:before="5" w:after="0"/>
        <w:rPr>
          <w:rFonts w:ascii="Calibri" w:hAnsi="Calibri"/>
          <w:b/>
          <w:b/>
          <w:i/>
          <w:i/>
          <w:sz w:val="39"/>
        </w:rPr>
      </w:pPr>
      <w:r>
        <w:rPr>
          <w:rFonts w:ascii="Calibri" w:hAnsi="Calibri"/>
          <w:b/>
          <w:i/>
          <w:sz w:val="39"/>
        </w:rPr>
      </w:r>
    </w:p>
    <w:p>
      <w:pPr>
        <w:pStyle w:val="Heading1"/>
        <w:rPr/>
      </w:pPr>
      <w:bookmarkStart w:id="0" w:name="Introduction"/>
      <w:bookmarkEnd w:id="0"/>
      <w:r>
        <w:rPr>
          <w:color w:val="4E80BC"/>
          <w:spacing w:val="-2"/>
        </w:rPr>
        <w:t>Introduction</w:t>
      </w:r>
    </w:p>
    <w:p>
      <w:pPr>
        <w:pStyle w:val="TextBody"/>
        <w:spacing w:before="174" w:after="0"/>
        <w:ind w:left="172" w:right="391" w:hanging="0"/>
        <w:jc w:val="both"/>
        <w:rPr/>
      </w:pPr>
      <w:r>
        <w:rPr/>
        <w:t>Mediterranean river basins, home to a significant number of endemic fish species facing conservation challenges, are among the most vulnerable types of dendritic metacommunities (Smith &amp; Darwall, 2006; Reyjol et al., 2007). The structure and colonization-extinction dynamics of fish metacommunities are naturally constrained by the connectivity within their habitats, shaped by both local and regional factors (Brown &amp; Swan 2010). These indigenous species are increasingly threatened by factors such as reservoir-induced connectivity reduction, increased pollution, habitat loss, and a surge in invasive species, which pose significant threats to freshwater ecosystems globally (Valerio et al. 2022).</w:t>
      </w:r>
    </w:p>
    <w:p>
      <w:pPr>
        <w:pStyle w:val="TextBody"/>
        <w:spacing w:before="177" w:after="0"/>
        <w:ind w:left="172" w:right="376" w:hanging="0"/>
        <w:jc w:val="both"/>
        <w:rPr/>
      </w:pPr>
      <w:r>
        <w:rPr/>
        <w:t>Mediterranean rivers' vulnerability to climate change (Jarić et al. 2018) is exacerbated by</w:t>
      </w:r>
      <w:r>
        <w:rPr>
          <w:spacing w:val="40"/>
        </w:rPr>
        <w:t xml:space="preserve"> </w:t>
      </w:r>
      <w:r>
        <w:rPr/>
        <w:t>their species-poor communities and periods of natural drought-flood (Gasith &amp; Resh, 1999). Increasingly intense summer heat is compounding the fragmentation of fish populations, which naturally isolate into pools during the drought (Bernardo et al., 2003, Maghallaes et al., 2007). Although native species have adapted to these fluctuations, escalating climate change poses an unprecedented threat. The region has already experienced a 1.5</w:t>
      </w:r>
      <w:r>
        <w:rPr>
          <w:rFonts w:eastAsia="Microsoft Sans Serif" w:cs="Microsoft Sans Serif" w:ascii="Microsoft Sans Serif" w:hAnsi="Microsoft Sans Serif"/>
        </w:rPr>
        <w:t>ᵒ</w:t>
      </w:r>
      <w:r>
        <w:rPr/>
        <w:t>C increase in summer temperatures, outpacing global rates by 20% (Ali et al., 2022). Predictions suggest that</w:t>
      </w:r>
      <w:r>
        <w:rPr>
          <w:spacing w:val="-3"/>
        </w:rPr>
        <w:t xml:space="preserve"> </w:t>
      </w:r>
      <w:r>
        <w:rPr/>
        <w:t>droughts</w:t>
      </w:r>
      <w:r>
        <w:rPr>
          <w:spacing w:val="-1"/>
        </w:rPr>
        <w:t xml:space="preserve"> </w:t>
      </w:r>
      <w:r>
        <w:rPr/>
        <w:t>will</w:t>
      </w:r>
      <w:r>
        <w:rPr>
          <w:spacing w:val="-3"/>
        </w:rPr>
        <w:t xml:space="preserve"> </w:t>
      </w:r>
      <w:r>
        <w:rPr/>
        <w:t>worsen,</w:t>
      </w:r>
      <w:r>
        <w:rPr>
          <w:spacing w:val="-1"/>
        </w:rPr>
        <w:t xml:space="preserve"> </w:t>
      </w:r>
      <w:r>
        <w:rPr/>
        <w:t>potentially</w:t>
      </w:r>
      <w:r>
        <w:rPr>
          <w:spacing w:val="-3"/>
        </w:rPr>
        <w:t xml:space="preserve"> </w:t>
      </w:r>
      <w:r>
        <w:rPr/>
        <w:t>leading</w:t>
      </w:r>
      <w:r>
        <w:rPr>
          <w:spacing w:val="-2"/>
        </w:rPr>
        <w:t xml:space="preserve"> </w:t>
      </w:r>
      <w:r>
        <w:rPr/>
        <w:t>to</w:t>
      </w:r>
      <w:r>
        <w:rPr>
          <w:spacing w:val="-3"/>
        </w:rPr>
        <w:t xml:space="preserve"> </w:t>
      </w:r>
      <w:r>
        <w:rPr/>
        <w:t>complete</w:t>
      </w:r>
      <w:r>
        <w:rPr>
          <w:spacing w:val="-1"/>
        </w:rPr>
        <w:t xml:space="preserve"> </w:t>
      </w:r>
      <w:r>
        <w:rPr/>
        <w:t>dry-outs</w:t>
      </w:r>
      <w:r>
        <w:rPr>
          <w:spacing w:val="-1"/>
        </w:rPr>
        <w:t xml:space="preserve"> </w:t>
      </w:r>
      <w:r>
        <w:rPr/>
        <w:t>of</w:t>
      </w:r>
      <w:r>
        <w:rPr>
          <w:spacing w:val="-4"/>
        </w:rPr>
        <w:t xml:space="preserve"> </w:t>
      </w:r>
      <w:r>
        <w:rPr/>
        <w:t>headwater</w:t>
      </w:r>
      <w:r>
        <w:rPr>
          <w:spacing w:val="-3"/>
        </w:rPr>
        <w:t xml:space="preserve"> </w:t>
      </w:r>
      <w:r>
        <w:rPr/>
        <w:t>streams.</w:t>
      </w:r>
      <w:r>
        <w:rPr>
          <w:spacing w:val="-1"/>
        </w:rPr>
        <w:t xml:space="preserve"> </w:t>
      </w:r>
      <w:r>
        <w:rPr/>
        <w:t>In</w:t>
      </w:r>
      <w:r>
        <w:rPr>
          <w:spacing w:val="-2"/>
        </w:rPr>
        <w:t xml:space="preserve"> </w:t>
      </w:r>
      <w:r>
        <w:rPr/>
        <w:t>a scenario where temperatures rise by 3</w:t>
      </w:r>
      <w:r>
        <w:rPr>
          <w:rFonts w:eastAsia="Microsoft Sans Serif" w:cs="Microsoft Sans Serif" w:ascii="Microsoft Sans Serif" w:hAnsi="Microsoft Sans Serif"/>
        </w:rPr>
        <w:t>ᵒ</w:t>
      </w:r>
      <w:r>
        <w:rPr/>
        <w:t>C, there is projected to be a 12% reduction in</w:t>
      </w:r>
      <w:r>
        <w:rPr>
          <w:spacing w:val="80"/>
        </w:rPr>
        <w:t xml:space="preserve"> </w:t>
      </w:r>
      <w:r>
        <w:rPr/>
        <w:t>expected mean rainfall (XIth IPCC Report, Ali et al., 2022). These conditions increase the risk of local extinction, with uncertain impacts on the metacommunity.</w:t>
      </w:r>
    </w:p>
    <w:p>
      <w:pPr>
        <w:pStyle w:val="TextBody"/>
        <w:spacing w:before="175" w:after="0"/>
        <w:ind w:left="172" w:right="378" w:hanging="0"/>
        <w:jc w:val="both"/>
        <w:rPr/>
      </w:pPr>
      <w:r>
        <w:rPr/>
        <w:t>Despite these mounting threats, the primary drivers of extinction risks in these communities remain uncertain, particularly regarding the combined effects of multiple problems. To prevent catastrophic</w:t>
      </w:r>
      <w:r>
        <w:rPr>
          <w:spacing w:val="-1"/>
        </w:rPr>
        <w:t xml:space="preserve"> </w:t>
      </w:r>
      <w:r>
        <w:rPr/>
        <w:t>biodiversity loss in</w:t>
      </w:r>
      <w:r>
        <w:rPr>
          <w:spacing w:val="-1"/>
        </w:rPr>
        <w:t xml:space="preserve"> </w:t>
      </w:r>
      <w:r>
        <w:rPr/>
        <w:t>Mediterranean</w:t>
      </w:r>
      <w:r>
        <w:rPr>
          <w:spacing w:val="-1"/>
        </w:rPr>
        <w:t xml:space="preserve"> </w:t>
      </w:r>
      <w:r>
        <w:rPr/>
        <w:t>fish</w:t>
      </w:r>
      <w:r>
        <w:rPr>
          <w:spacing w:val="-1"/>
        </w:rPr>
        <w:t xml:space="preserve"> </w:t>
      </w:r>
      <w:r>
        <w:rPr/>
        <w:t>communities, it is essential</w:t>
      </w:r>
      <w:r>
        <w:rPr>
          <w:spacing w:val="-2"/>
        </w:rPr>
        <w:t xml:space="preserve"> </w:t>
      </w:r>
      <w:r>
        <w:rPr/>
        <w:t xml:space="preserve">to understand how extinction risk will vary across the basin under these compounded threats. It is essential not only to recognize the issues that have the most significant impact but also to consider how the interaction of multiple threats could magnify extinction risks in certain </w:t>
      </w:r>
      <w:r>
        <w:rPr>
          <w:spacing w:val="-2"/>
        </w:rPr>
        <w:t>areas.</w:t>
      </w:r>
    </w:p>
    <w:p>
      <w:pPr>
        <w:pStyle w:val="TextBody"/>
        <w:spacing w:before="199" w:after="0"/>
        <w:ind w:left="172" w:right="389" w:hanging="0"/>
        <w:jc w:val="both"/>
        <w:rPr/>
      </w:pPr>
      <w:r>
        <w:rPr/>
        <w:t>Thus, it is critical to develop robust, data-driven simulation tools that can identify and</w:t>
      </w:r>
      <w:r>
        <w:rPr>
          <w:spacing w:val="40"/>
        </w:rPr>
        <w:t xml:space="preserve"> </w:t>
      </w:r>
      <w:r>
        <w:rPr/>
        <w:t>monitor at-risk regions. Such tools will inform targeted conservation efforts, including exotic species management, creation of refuge zones for native and endemic species' range expansion, and designation of priority areas for heightened protection and monitoring. It will be an invaluable resource to address some of the pressing objectives of the recent Spanish National  Strategy for  River Restoration 2022-2030, including  climate change effects and  selection of  hydrological reserves (MITECO 2022).</w:t>
      </w:r>
    </w:p>
    <w:p>
      <w:pPr>
        <w:sectPr>
          <w:type w:val="nextPage"/>
          <w:pgSz w:w="12240" w:h="15840"/>
          <w:pgMar w:left="1000" w:right="1060" w:gutter="0" w:header="0" w:top="1820" w:footer="0" w:bottom="280"/>
          <w:pgNumType w:fmt="decimal"/>
          <w:formProt w:val="false"/>
          <w:textDirection w:val="lrTb"/>
        </w:sectPr>
      </w:pPr>
    </w:p>
    <w:p>
      <w:pPr>
        <w:pStyle w:val="Heading1"/>
        <w:spacing w:before="7" w:after="0"/>
        <w:rPr/>
      </w:pPr>
      <w:bookmarkStart w:id="1" w:name="Aims"/>
      <w:bookmarkEnd w:id="1"/>
      <w:r>
        <w:rPr>
          <w:color w:val="4E80BC"/>
          <w:spacing w:val="-4"/>
        </w:rPr>
        <w:t>Aims</w:t>
      </w:r>
    </w:p>
    <w:p>
      <w:pPr>
        <w:pStyle w:val="TextBody"/>
        <w:spacing w:before="30" w:after="0"/>
        <w:ind w:left="172" w:hanging="0"/>
        <w:rPr/>
      </w:pPr>
      <w:r>
        <w:rPr/>
        <w:t>Our</w:t>
      </w:r>
      <w:r>
        <w:rPr>
          <w:spacing w:val="-7"/>
        </w:rPr>
        <w:t xml:space="preserve"> </w:t>
      </w:r>
      <w:r>
        <w:rPr/>
        <w:t>research</w:t>
      </w:r>
      <w:r>
        <w:rPr>
          <w:spacing w:val="-6"/>
        </w:rPr>
        <w:t xml:space="preserve"> </w:t>
      </w:r>
      <w:r>
        <w:rPr/>
        <w:t>aims</w:t>
      </w:r>
      <w:r>
        <w:rPr>
          <w:spacing w:val="-6"/>
        </w:rPr>
        <w:t xml:space="preserve"> </w:t>
      </w:r>
      <w:r>
        <w:rPr/>
        <w:t>to</w:t>
      </w:r>
      <w:r>
        <w:rPr>
          <w:spacing w:val="-7"/>
        </w:rPr>
        <w:t xml:space="preserve"> </w:t>
      </w:r>
      <w:r>
        <w:rPr/>
        <w:t>address</w:t>
      </w:r>
      <w:r>
        <w:rPr>
          <w:spacing w:val="-4"/>
        </w:rPr>
        <w:t xml:space="preserve"> </w:t>
      </w:r>
      <w:r>
        <w:rPr/>
        <w:t>these</w:t>
      </w:r>
      <w:r>
        <w:rPr>
          <w:spacing w:val="-5"/>
        </w:rPr>
        <w:t xml:space="preserve"> </w:t>
      </w:r>
      <w:r>
        <w:rPr/>
        <w:t>gaps</w:t>
      </w:r>
      <w:r>
        <w:rPr>
          <w:spacing w:val="-7"/>
        </w:rPr>
        <w:t xml:space="preserve"> </w:t>
      </w:r>
      <w:r>
        <w:rPr/>
        <w:t>through</w:t>
      </w:r>
      <w:r>
        <w:rPr>
          <w:spacing w:val="-5"/>
        </w:rPr>
        <w:t xml:space="preserve"> </w:t>
      </w:r>
      <w:r>
        <w:rPr/>
        <w:t>the</w:t>
      </w:r>
      <w:r>
        <w:rPr>
          <w:spacing w:val="-5"/>
        </w:rPr>
        <w:t xml:space="preserve"> </w:t>
      </w:r>
      <w:r>
        <w:rPr/>
        <w:t>following</w:t>
      </w:r>
      <w:r>
        <w:rPr>
          <w:spacing w:val="-6"/>
        </w:rPr>
        <w:t xml:space="preserve"> </w:t>
      </w:r>
      <w:r>
        <w:rPr>
          <w:spacing w:val="-2"/>
        </w:rPr>
        <w:t>objectives:</w:t>
      </w:r>
    </w:p>
    <w:p>
      <w:pPr>
        <w:pStyle w:val="TextBody"/>
        <w:spacing w:before="1" w:after="0"/>
        <w:rPr>
          <w:sz w:val="30"/>
        </w:rPr>
      </w:pPr>
      <w:r>
        <w:rPr>
          <w:sz w:val="30"/>
        </w:rPr>
      </w:r>
    </w:p>
    <w:p>
      <w:pPr>
        <w:pStyle w:val="Heading3"/>
        <w:numPr>
          <w:ilvl w:val="0"/>
          <w:numId w:val="1"/>
        </w:numPr>
        <w:tabs>
          <w:tab w:val="clear" w:pos="720"/>
          <w:tab w:val="left" w:pos="621" w:leader="none"/>
        </w:tabs>
        <w:spacing w:lineRule="auto" w:line="254"/>
        <w:ind w:left="621" w:right="1166" w:hanging="360"/>
        <w:rPr/>
      </w:pPr>
      <w:r>
        <w:rPr/>
        <w:t>What</w:t>
      </w:r>
      <w:r>
        <w:rPr>
          <w:spacing w:val="-5"/>
        </w:rPr>
        <w:t xml:space="preserve"> </w:t>
      </w:r>
      <w:r>
        <w:rPr/>
        <w:t>are</w:t>
      </w:r>
      <w:r>
        <w:rPr>
          <w:spacing w:val="-3"/>
        </w:rPr>
        <w:t xml:space="preserve"> </w:t>
      </w:r>
      <w:r>
        <w:rPr/>
        <w:t>the</w:t>
      </w:r>
      <w:r>
        <w:rPr>
          <w:spacing w:val="-3"/>
        </w:rPr>
        <w:t xml:space="preserve"> native fish </w:t>
      </w:r>
      <w:r>
        <w:rPr/>
        <w:t>extinction</w:t>
      </w:r>
      <w:r>
        <w:rPr>
          <w:spacing w:val="-5"/>
        </w:rPr>
        <w:t xml:space="preserve"> </w:t>
      </w:r>
      <w:r>
        <w:rPr/>
        <w:t>risk</w:t>
      </w:r>
      <w:r>
        <w:rPr>
          <w:spacing w:val="-4"/>
        </w:rPr>
        <w:t xml:space="preserve"> </w:t>
      </w:r>
      <w:r>
        <w:rPr/>
        <w:t>levels</w:t>
      </w:r>
      <w:r>
        <w:rPr>
          <w:spacing w:val="-6"/>
        </w:rPr>
        <w:t xml:space="preserve"> </w:t>
      </w:r>
      <w:r>
        <w:rPr/>
        <w:t>in</w:t>
      </w:r>
      <w:r>
        <w:rPr>
          <w:spacing w:val="-5"/>
        </w:rPr>
        <w:t xml:space="preserve"> </w:t>
      </w:r>
      <w:r>
        <w:rPr/>
        <w:t>the</w:t>
      </w:r>
      <w:r>
        <w:rPr>
          <w:spacing w:val="-3"/>
        </w:rPr>
        <w:t xml:space="preserve"> </w:t>
      </w:r>
      <w:r>
        <w:rPr/>
        <w:t>Guadalquivir</w:t>
      </w:r>
      <w:r>
        <w:rPr>
          <w:spacing w:val="-6"/>
        </w:rPr>
        <w:t xml:space="preserve"> </w:t>
      </w:r>
      <w:r>
        <w:rPr/>
        <w:t>River</w:t>
      </w:r>
      <w:r>
        <w:rPr>
          <w:spacing w:val="-4"/>
        </w:rPr>
        <w:t xml:space="preserve"> </w:t>
      </w:r>
      <w:r>
        <w:rPr/>
        <w:t>basin</w:t>
      </w:r>
      <w:r>
        <w:rPr>
          <w:spacing w:val="-5"/>
        </w:rPr>
        <w:t xml:space="preserve"> </w:t>
      </w:r>
      <w:r>
        <w:rPr/>
        <w:t>under</w:t>
      </w:r>
      <w:r>
        <w:rPr>
          <w:spacing w:val="-4"/>
        </w:rPr>
        <w:t xml:space="preserve"> </w:t>
      </w:r>
      <w:r>
        <w:rPr/>
        <w:t>the current threat scenario?</w:t>
      </w:r>
    </w:p>
    <w:p>
      <w:pPr>
        <w:pStyle w:val="TextBody"/>
        <w:spacing w:before="164" w:after="0"/>
        <w:ind w:left="621" w:right="392" w:hanging="0"/>
        <w:jc w:val="both"/>
        <w:rPr/>
      </w:pPr>
      <w:r>
        <w:rPr/>
        <w:t>Using a large empirical metacommunity dataset (Fig. 1), we will model the probability of species extinction in the Guadalquivir basin. Our approach will incorporate empirical data, taking into account the unique</w:t>
      </w:r>
      <w:r>
        <w:rPr>
          <w:spacing w:val="-3"/>
        </w:rPr>
        <w:t xml:space="preserve"> </w:t>
      </w:r>
      <w:r>
        <w:rPr/>
        <w:t>disturbances</w:t>
      </w:r>
      <w:r>
        <w:rPr>
          <w:spacing w:val="-3"/>
        </w:rPr>
        <w:t xml:space="preserve"> </w:t>
      </w:r>
      <w:r>
        <w:rPr/>
        <w:t>within</w:t>
      </w:r>
      <w:r>
        <w:rPr>
          <w:spacing w:val="-4"/>
        </w:rPr>
        <w:t xml:space="preserve"> </w:t>
      </w:r>
      <w:r>
        <w:rPr/>
        <w:t>each</w:t>
      </w:r>
      <w:r>
        <w:rPr>
          <w:spacing w:val="-2"/>
        </w:rPr>
        <w:t xml:space="preserve"> sub-basin</w:t>
      </w:r>
      <w:r>
        <w:rPr/>
        <w:t>,</w:t>
      </w:r>
      <w:r>
        <w:rPr>
          <w:spacing w:val="-5"/>
        </w:rPr>
        <w:t xml:space="preserve"> </w:t>
      </w:r>
      <w:r>
        <w:rPr/>
        <w:t>such</w:t>
      </w:r>
      <w:r>
        <w:rPr>
          <w:spacing w:val="-4"/>
        </w:rPr>
        <w:t xml:space="preserve"> </w:t>
      </w:r>
      <w:r>
        <w:rPr/>
        <w:t>as</w:t>
      </w:r>
      <w:r>
        <w:rPr>
          <w:spacing w:val="-5"/>
        </w:rPr>
        <w:t xml:space="preserve"> </w:t>
      </w:r>
      <w:r>
        <w:rPr/>
        <w:t>the</w:t>
      </w:r>
      <w:r>
        <w:rPr>
          <w:spacing w:val="-3"/>
        </w:rPr>
        <w:t xml:space="preserve"> </w:t>
      </w:r>
      <w:r>
        <w:rPr/>
        <w:t>prevalence</w:t>
      </w:r>
      <w:r>
        <w:rPr>
          <w:spacing w:val="-3"/>
        </w:rPr>
        <w:t xml:space="preserve"> </w:t>
      </w:r>
      <w:r>
        <w:rPr/>
        <w:t>of</w:t>
      </w:r>
      <w:r>
        <w:rPr>
          <w:spacing w:val="-4"/>
        </w:rPr>
        <w:t xml:space="preserve"> </w:t>
      </w:r>
      <w:r>
        <w:rPr/>
        <w:t>exotic</w:t>
      </w:r>
      <w:r>
        <w:rPr>
          <w:spacing w:val="-3"/>
        </w:rPr>
        <w:t xml:space="preserve"> </w:t>
      </w:r>
      <w:r>
        <w:rPr/>
        <w:t>species,</w:t>
      </w:r>
      <w:r>
        <w:rPr>
          <w:spacing w:val="-3"/>
        </w:rPr>
        <w:t xml:space="preserve"> </w:t>
      </w:r>
      <w:r>
        <w:rPr/>
        <w:t>dam presence, and land use patterns. Findings will be compared with a 'null model' scenario, which instead uses 'slices' that follow longitude bands across the whole basin.</w:t>
      </w:r>
    </w:p>
    <w:p>
      <w:pPr>
        <w:pStyle w:val="Heading3"/>
        <w:numPr>
          <w:ilvl w:val="0"/>
          <w:numId w:val="1"/>
        </w:numPr>
        <w:tabs>
          <w:tab w:val="clear" w:pos="720"/>
          <w:tab w:val="left" w:pos="621" w:leader="none"/>
        </w:tabs>
        <w:spacing w:before="197" w:after="0"/>
        <w:ind w:left="621" w:hanging="359"/>
        <w:rPr/>
      </w:pPr>
      <w:r>
        <w:rPr/>
        <w:t>How</w:t>
      </w:r>
      <w:r>
        <w:rPr>
          <w:spacing w:val="-7"/>
        </w:rPr>
        <w:t xml:space="preserve"> </w:t>
      </w:r>
      <w:r>
        <w:rPr/>
        <w:t>will</w:t>
      </w:r>
      <w:r>
        <w:rPr>
          <w:spacing w:val="-7"/>
        </w:rPr>
        <w:t xml:space="preserve"> </w:t>
      </w:r>
      <w:r>
        <w:rPr/>
        <w:t>extinction</w:t>
      </w:r>
      <w:r>
        <w:rPr>
          <w:spacing w:val="-8"/>
        </w:rPr>
        <w:t xml:space="preserve"> </w:t>
      </w:r>
      <w:r>
        <w:rPr/>
        <w:t>risk</w:t>
      </w:r>
      <w:r>
        <w:rPr>
          <w:spacing w:val="-7"/>
        </w:rPr>
        <w:t xml:space="preserve"> </w:t>
      </w:r>
      <w:r>
        <w:rPr/>
        <w:t>change</w:t>
      </w:r>
      <w:r>
        <w:rPr>
          <w:spacing w:val="-6"/>
        </w:rPr>
        <w:t xml:space="preserve"> </w:t>
      </w:r>
      <w:r>
        <w:rPr/>
        <w:t>with</w:t>
      </w:r>
      <w:r>
        <w:rPr>
          <w:spacing w:val="-8"/>
        </w:rPr>
        <w:t xml:space="preserve"> </w:t>
      </w:r>
      <w:r>
        <w:rPr/>
        <w:t>increased</w:t>
      </w:r>
      <w:r>
        <w:rPr>
          <w:spacing w:val="-6"/>
        </w:rPr>
        <w:t xml:space="preserve"> </w:t>
      </w:r>
      <w:r>
        <w:rPr/>
        <w:t>threat</w:t>
      </w:r>
      <w:r>
        <w:rPr>
          <w:spacing w:val="-6"/>
        </w:rPr>
        <w:t xml:space="preserve"> </w:t>
      </w:r>
      <w:r>
        <w:rPr>
          <w:spacing w:val="-2"/>
        </w:rPr>
        <w:t>levels?</w:t>
      </w:r>
    </w:p>
    <w:p>
      <w:pPr>
        <w:pStyle w:val="TextBody"/>
        <w:spacing w:before="183" w:after="0"/>
        <w:ind w:left="621" w:right="345" w:hanging="0"/>
        <w:rPr/>
      </w:pPr>
      <w:r>
        <w:rPr/>
        <w:t>We</w:t>
      </w:r>
      <w:r>
        <w:rPr>
          <w:spacing w:val="-5"/>
        </w:rPr>
        <w:t xml:space="preserve"> </w:t>
      </w:r>
      <w:r>
        <w:rPr/>
        <w:t>intend</w:t>
      </w:r>
      <w:r>
        <w:rPr>
          <w:spacing w:val="-3"/>
        </w:rPr>
        <w:t xml:space="preserve"> </w:t>
      </w:r>
      <w:r>
        <w:rPr/>
        <w:t>to</w:t>
      </w:r>
      <w:r>
        <w:rPr>
          <w:spacing w:val="-3"/>
        </w:rPr>
        <w:t xml:space="preserve"> </w:t>
      </w:r>
      <w:r>
        <w:rPr/>
        <w:t>study</w:t>
      </w:r>
      <w:r>
        <w:rPr>
          <w:spacing w:val="-6"/>
        </w:rPr>
        <w:t xml:space="preserve"> </w:t>
      </w:r>
      <w:r>
        <w:rPr/>
        <w:t>the</w:t>
      </w:r>
      <w:r>
        <w:rPr>
          <w:spacing w:val="-5"/>
        </w:rPr>
        <w:t xml:space="preserve"> </w:t>
      </w:r>
      <w:r>
        <w:rPr/>
        <w:t>influence</w:t>
      </w:r>
      <w:r>
        <w:rPr>
          <w:spacing w:val="-5"/>
        </w:rPr>
        <w:t xml:space="preserve"> </w:t>
      </w:r>
      <w:r>
        <w:rPr/>
        <w:t>of</w:t>
      </w:r>
      <w:r>
        <w:rPr>
          <w:spacing w:val="-4"/>
        </w:rPr>
        <w:t xml:space="preserve"> </w:t>
      </w:r>
      <w:r>
        <w:rPr/>
        <w:t>exotic</w:t>
      </w:r>
      <w:r>
        <w:rPr>
          <w:spacing w:val="-5"/>
        </w:rPr>
        <w:t xml:space="preserve"> </w:t>
      </w:r>
      <w:r>
        <w:rPr/>
        <w:t>species</w:t>
      </w:r>
      <w:r>
        <w:rPr>
          <w:spacing w:val="-5"/>
        </w:rPr>
        <w:t xml:space="preserve"> </w:t>
      </w:r>
      <w:r>
        <w:rPr/>
        <w:t>and</w:t>
      </w:r>
      <w:r>
        <w:rPr>
          <w:spacing w:val="-3"/>
        </w:rPr>
        <w:t xml:space="preserve"> </w:t>
      </w:r>
      <w:r>
        <w:rPr/>
        <w:t>climate</w:t>
      </w:r>
      <w:r>
        <w:rPr>
          <w:spacing w:val="-5"/>
        </w:rPr>
        <w:t xml:space="preserve"> </w:t>
      </w:r>
      <w:r>
        <w:rPr/>
        <w:t>change-driven</w:t>
      </w:r>
      <w:r>
        <w:rPr>
          <w:spacing w:val="-4"/>
        </w:rPr>
        <w:t xml:space="preserve"> </w:t>
      </w:r>
      <w:r>
        <w:rPr/>
        <w:t xml:space="preserve">desiccation on the range dynamics and extinction risk of native and endemic species. </w:t>
      </w:r>
      <w:r>
        <w:rPr/>
        <w:t xml:space="preserve">Species-specific biological parameters, i.e., migration, life history traits, will be used to parametrize the dynamics of the simulations. </w:t>
      </w:r>
    </w:p>
    <w:p>
      <w:pPr>
        <w:pStyle w:val="Heading3"/>
        <w:numPr>
          <w:ilvl w:val="0"/>
          <w:numId w:val="1"/>
        </w:numPr>
        <w:tabs>
          <w:tab w:val="clear" w:pos="720"/>
          <w:tab w:val="left" w:pos="621" w:leader="none"/>
        </w:tabs>
        <w:spacing w:lineRule="auto" w:line="254" w:before="199" w:after="0"/>
        <w:ind w:left="621" w:right="668" w:hanging="360"/>
        <w:rPr/>
      </w:pPr>
      <w:r>
        <w:rPr/>
        <w:t>What</w:t>
      </w:r>
      <w:r>
        <w:rPr>
          <w:spacing w:val="-5"/>
        </w:rPr>
        <w:t xml:space="preserve"> </w:t>
      </w:r>
      <w:r>
        <w:rPr/>
        <w:t>tools</w:t>
      </w:r>
      <w:r>
        <w:rPr>
          <w:spacing w:val="-4"/>
        </w:rPr>
        <w:t xml:space="preserve"> </w:t>
      </w:r>
      <w:r>
        <w:rPr/>
        <w:t>can</w:t>
      </w:r>
      <w:r>
        <w:rPr>
          <w:spacing w:val="-5"/>
        </w:rPr>
        <w:t xml:space="preserve"> </w:t>
      </w:r>
      <w:r>
        <w:rPr/>
        <w:t>we</w:t>
      </w:r>
      <w:r>
        <w:rPr>
          <w:spacing w:val="-5"/>
        </w:rPr>
        <w:t xml:space="preserve"> </w:t>
      </w:r>
      <w:r>
        <w:rPr/>
        <w:t>provide</w:t>
      </w:r>
      <w:r>
        <w:rPr>
          <w:spacing w:val="-3"/>
        </w:rPr>
        <w:t xml:space="preserve"> </w:t>
      </w:r>
      <w:r>
        <w:rPr/>
        <w:t>to</w:t>
      </w:r>
      <w:r>
        <w:rPr>
          <w:spacing w:val="-6"/>
        </w:rPr>
        <w:t xml:space="preserve"> </w:t>
      </w:r>
      <w:r>
        <w:rPr/>
        <w:t>predict</w:t>
      </w:r>
      <w:r>
        <w:rPr>
          <w:spacing w:val="-3"/>
        </w:rPr>
        <w:t xml:space="preserve"> </w:t>
      </w:r>
      <w:r>
        <w:rPr/>
        <w:t>extinction</w:t>
      </w:r>
      <w:r>
        <w:rPr>
          <w:spacing w:val="-3"/>
        </w:rPr>
        <w:t xml:space="preserve"> </w:t>
      </w:r>
      <w:r>
        <w:rPr/>
        <w:t>risks</w:t>
      </w:r>
      <w:r>
        <w:rPr>
          <w:spacing w:val="-6"/>
        </w:rPr>
        <w:t xml:space="preserve"> </w:t>
      </w:r>
      <w:r>
        <w:rPr/>
        <w:t>and</w:t>
      </w:r>
      <w:r>
        <w:rPr>
          <w:spacing w:val="-3"/>
        </w:rPr>
        <w:t xml:space="preserve"> </w:t>
      </w:r>
      <w:r>
        <w:rPr/>
        <w:t>assess</w:t>
      </w:r>
      <w:r>
        <w:rPr>
          <w:spacing w:val="-4"/>
        </w:rPr>
        <w:t xml:space="preserve"> </w:t>
      </w:r>
      <w:r>
        <w:rPr/>
        <w:t>resilience</w:t>
      </w:r>
      <w:r>
        <w:rPr>
          <w:spacing w:val="-3"/>
        </w:rPr>
        <w:t xml:space="preserve"> </w:t>
      </w:r>
      <w:r>
        <w:rPr/>
        <w:t>under different scenarios in Mediterranean basins?</w:t>
      </w:r>
    </w:p>
    <w:p>
      <w:pPr>
        <w:pStyle w:val="TextBody"/>
        <w:spacing w:before="1" w:after="0"/>
        <w:rPr>
          <w:b/>
          <w:b/>
          <w:sz w:val="26"/>
        </w:rPr>
      </w:pPr>
      <w:r>
        <w:rPr>
          <w:b/>
          <w:sz w:val="26"/>
        </w:rPr>
      </w:r>
    </w:p>
    <w:p>
      <w:pPr>
        <w:pStyle w:val="TextBody"/>
        <w:spacing w:lineRule="auto" w:line="259"/>
        <w:ind w:left="621" w:right="433" w:hanging="0"/>
        <w:rPr/>
      </w:pPr>
      <w:r>
        <w:rPr/>
        <w:t>We aim to develop a spatially-explicit modeling tool to enable practitioners and stakeholders</w:t>
      </w:r>
      <w:r>
        <w:rPr>
          <w:spacing w:val="-5"/>
        </w:rPr>
        <w:t xml:space="preserve"> </w:t>
      </w:r>
      <w:r>
        <w:rPr/>
        <w:t>to</w:t>
      </w:r>
      <w:r>
        <w:rPr>
          <w:spacing w:val="-5"/>
        </w:rPr>
        <w:t xml:space="preserve"> </w:t>
      </w:r>
      <w:r>
        <w:rPr/>
        <w:t>predict</w:t>
      </w:r>
      <w:r>
        <w:rPr>
          <w:spacing w:val="-5"/>
        </w:rPr>
        <w:t xml:space="preserve"> </w:t>
      </w:r>
      <w:r>
        <w:rPr/>
        <w:t>extinction</w:t>
      </w:r>
      <w:r>
        <w:rPr>
          <w:spacing w:val="-5"/>
        </w:rPr>
        <w:t xml:space="preserve"> </w:t>
      </w:r>
      <w:r>
        <w:rPr/>
        <w:t>risks</w:t>
      </w:r>
      <w:r>
        <w:rPr>
          <w:spacing w:val="-5"/>
        </w:rPr>
        <w:t xml:space="preserve"> </w:t>
      </w:r>
      <w:r>
        <w:rPr/>
        <w:t>and</w:t>
      </w:r>
      <w:r>
        <w:rPr>
          <w:spacing w:val="-3"/>
        </w:rPr>
        <w:t xml:space="preserve"> </w:t>
      </w:r>
      <w:r>
        <w:rPr/>
        <w:t>assess</w:t>
      </w:r>
      <w:r>
        <w:rPr>
          <w:spacing w:val="-5"/>
        </w:rPr>
        <w:t xml:space="preserve"> </w:t>
      </w:r>
      <w:r>
        <w:rPr/>
        <w:t>the</w:t>
      </w:r>
      <w:r>
        <w:rPr>
          <w:spacing w:val="-5"/>
        </w:rPr>
        <w:t xml:space="preserve"> </w:t>
      </w:r>
      <w:r>
        <w:rPr/>
        <w:t>resilience</w:t>
      </w:r>
      <w:r>
        <w:rPr>
          <w:spacing w:val="-3"/>
        </w:rPr>
        <w:t xml:space="preserve"> </w:t>
      </w:r>
      <w:r>
        <w:rPr/>
        <w:t>of</w:t>
      </w:r>
      <w:r>
        <w:rPr>
          <w:spacing w:val="-6"/>
        </w:rPr>
        <w:t xml:space="preserve"> </w:t>
      </w:r>
      <w:r>
        <w:rPr/>
        <w:t>various</w:t>
      </w:r>
      <w:r>
        <w:rPr>
          <w:spacing w:val="-5"/>
        </w:rPr>
        <w:t xml:space="preserve"> </w:t>
      </w:r>
      <w:r>
        <w:rPr/>
        <w:t xml:space="preserve">freshwater fish populations under </w:t>
      </w:r>
      <w:r>
        <w:rPr/>
        <w:t>varying</w:t>
      </w:r>
      <w:r>
        <w:rPr/>
        <w:t xml:space="preserve"> drought and anthropogenic impact scenarios in the Guadalquivir. This tool will have a user-friendly interface, with the possibility of being adapted for use in other Mediterranean </w:t>
      </w:r>
      <w:r>
        <w:rPr>
          <w:spacing w:val="-2"/>
        </w:rPr>
        <w:t xml:space="preserve">basins. </w:t>
      </w:r>
    </w:p>
    <w:p>
      <w:pPr>
        <w:pStyle w:val="Normal"/>
        <w:spacing w:lineRule="auto" w:line="259"/>
        <w:rPr/>
      </w:pPr>
      <w:r>
        <w:rPr/>
      </w:r>
    </w:p>
    <w:p>
      <w:pPr>
        <w:pStyle w:val="Normal"/>
        <w:spacing w:lineRule="auto" w:line="259"/>
        <w:rPr/>
      </w:pPr>
      <w:r>
        <w:rPr/>
      </w:r>
    </w:p>
    <w:p>
      <w:pPr>
        <w:pStyle w:val="Heading1"/>
        <w:rPr/>
      </w:pPr>
      <w:r>
        <w:rPr>
          <w:color w:val="4E80BC"/>
          <w:spacing w:val="-2"/>
        </w:rPr>
        <w:t>Methods</w:t>
      </w:r>
    </w:p>
    <w:p>
      <w:pPr>
        <w:pStyle w:val="TextBody"/>
        <w:spacing w:before="7" w:after="0"/>
        <w:rPr>
          <w:rFonts w:ascii="Calibri" w:hAnsi="Calibri"/>
          <w:b/>
          <w:b/>
          <w:sz w:val="31"/>
        </w:rPr>
      </w:pPr>
      <w:r>
        <w:rPr>
          <w:rFonts w:ascii="Calibri" w:hAnsi="Calibri"/>
          <w:b/>
          <w:sz w:val="31"/>
        </w:rPr>
      </w:r>
    </w:p>
    <w:p>
      <w:pPr>
        <w:pStyle w:val="TextBody"/>
        <w:ind w:left="172" w:hanging="0"/>
        <w:rPr/>
      </w:pPr>
      <w:r>
        <w:rPr/>
        <w:t>To</w:t>
      </w:r>
      <w:r>
        <w:rPr>
          <w:spacing w:val="-6"/>
        </w:rPr>
        <w:t xml:space="preserve"> </w:t>
      </w:r>
      <w:r>
        <w:rPr/>
        <w:t>achieve</w:t>
      </w:r>
      <w:r>
        <w:rPr>
          <w:spacing w:val="-6"/>
        </w:rPr>
        <w:t xml:space="preserve"> </w:t>
      </w:r>
      <w:r>
        <w:rPr/>
        <w:t>these</w:t>
      </w:r>
      <w:r>
        <w:rPr>
          <w:spacing w:val="-6"/>
        </w:rPr>
        <w:t xml:space="preserve"> </w:t>
      </w:r>
      <w:r>
        <w:rPr/>
        <w:t>aims,</w:t>
      </w:r>
      <w:r>
        <w:rPr>
          <w:spacing w:val="-4"/>
        </w:rPr>
        <w:t xml:space="preserve"> </w:t>
      </w:r>
      <w:r>
        <w:rPr/>
        <w:t>we</w:t>
      </w:r>
      <w:r>
        <w:rPr>
          <w:spacing w:val="-4"/>
        </w:rPr>
        <w:t xml:space="preserve"> </w:t>
      </w:r>
      <w:r>
        <w:rPr/>
        <w:t>will</w:t>
      </w:r>
      <w:r>
        <w:rPr>
          <w:spacing w:val="-6"/>
        </w:rPr>
        <w:t xml:space="preserve"> </w:t>
      </w:r>
      <w:r>
        <w:rPr/>
        <w:t>employ</w:t>
      </w:r>
      <w:r>
        <w:rPr>
          <w:spacing w:val="-5"/>
        </w:rPr>
        <w:t xml:space="preserve"> </w:t>
      </w:r>
      <w:r>
        <w:rPr/>
        <w:t>the</w:t>
      </w:r>
      <w:r>
        <w:rPr>
          <w:spacing w:val="-6"/>
        </w:rPr>
        <w:t xml:space="preserve"> </w:t>
      </w:r>
      <w:r>
        <w:rPr/>
        <w:t>following</w:t>
      </w:r>
      <w:r>
        <w:rPr>
          <w:spacing w:val="-5"/>
        </w:rPr>
        <w:t xml:space="preserve"> </w:t>
      </w:r>
      <w:r>
        <w:rPr>
          <w:spacing w:val="-2"/>
        </w:rPr>
        <w:t>methodologies:</w:t>
      </w:r>
    </w:p>
    <w:p>
      <w:pPr>
        <w:pStyle w:val="Heading2"/>
        <w:spacing w:before="204" w:after="0"/>
        <w:rPr/>
      </w:pPr>
      <w:bookmarkStart w:id="2" w:name="Extinction_probability_curves"/>
      <w:bookmarkEnd w:id="2"/>
      <w:r>
        <w:rPr>
          <w:color w:val="4E80BC"/>
        </w:rPr>
        <w:t>Extinction</w:t>
      </w:r>
      <w:r>
        <w:rPr>
          <w:color w:val="4E80BC"/>
          <w:spacing w:val="-12"/>
        </w:rPr>
        <w:t xml:space="preserve"> </w:t>
      </w:r>
      <w:r>
        <w:rPr>
          <w:color w:val="4E80BC"/>
        </w:rPr>
        <w:t>probability</w:t>
      </w:r>
      <w:r>
        <w:rPr>
          <w:color w:val="4E80BC"/>
          <w:spacing w:val="-10"/>
        </w:rPr>
        <w:t xml:space="preserve"> </w:t>
      </w:r>
      <w:r>
        <w:rPr>
          <w:color w:val="4E80BC"/>
          <w:spacing w:val="-2"/>
        </w:rPr>
        <w:t>curves</w:t>
      </w:r>
    </w:p>
    <w:p>
      <w:pPr>
        <w:pStyle w:val="TextBody"/>
        <w:spacing w:before="175" w:after="0"/>
        <w:ind w:left="172" w:right="433" w:hanging="0"/>
        <w:rPr/>
      </w:pPr>
      <w:r>
        <w:rPr/>
        <w:t>Using</w:t>
      </w:r>
      <w:r>
        <w:rPr>
          <w:spacing w:val="-5"/>
        </w:rPr>
        <w:t xml:space="preserve"> </w:t>
      </w:r>
      <w:r>
        <w:rPr/>
        <w:t>an</w:t>
      </w:r>
      <w:r>
        <w:rPr>
          <w:spacing w:val="-6"/>
        </w:rPr>
        <w:t xml:space="preserve"> </w:t>
      </w:r>
      <w:r>
        <w:rPr/>
        <w:t>existing</w:t>
      </w:r>
      <w:r>
        <w:rPr>
          <w:spacing w:val="-5"/>
        </w:rPr>
        <w:t xml:space="preserve"> </w:t>
      </w:r>
      <w:r>
        <w:rPr/>
        <w:t>database</w:t>
      </w:r>
      <w:r>
        <w:rPr>
          <w:spacing w:val="-6"/>
        </w:rPr>
        <w:t xml:space="preserve"> </w:t>
      </w:r>
      <w:r>
        <w:rPr/>
        <w:t>of</w:t>
      </w:r>
      <w:r>
        <w:rPr>
          <w:spacing w:val="-5"/>
        </w:rPr>
        <w:t xml:space="preserve"> </w:t>
      </w:r>
      <w:r>
        <w:rPr/>
        <w:t>fish</w:t>
      </w:r>
      <w:r>
        <w:rPr>
          <w:spacing w:val="-5"/>
        </w:rPr>
        <w:t xml:space="preserve"> </w:t>
      </w:r>
      <w:r>
        <w:rPr/>
        <w:t>communities,</w:t>
      </w:r>
      <w:r>
        <w:rPr>
          <w:spacing w:val="-4"/>
        </w:rPr>
        <w:t xml:space="preserve"> </w:t>
      </w:r>
      <w:r>
        <w:rPr/>
        <w:t>habitat</w:t>
      </w:r>
      <w:r>
        <w:rPr>
          <w:spacing w:val="-4"/>
        </w:rPr>
        <w:t xml:space="preserve"> </w:t>
      </w:r>
      <w:r>
        <w:rPr/>
        <w:t>characteristics,</w:t>
      </w:r>
      <w:r>
        <w:rPr>
          <w:spacing w:val="-4"/>
        </w:rPr>
        <w:t xml:space="preserve"> </w:t>
      </w:r>
      <w:r>
        <w:rPr/>
        <w:t>and</w:t>
      </w:r>
      <w:r>
        <w:rPr>
          <w:spacing w:val="-6"/>
        </w:rPr>
        <w:t xml:space="preserve"> </w:t>
      </w:r>
      <w:r>
        <w:rPr/>
        <w:t>river</w:t>
      </w:r>
      <w:r>
        <w:rPr>
          <w:spacing w:val="-4"/>
        </w:rPr>
        <w:t xml:space="preserve"> </w:t>
      </w:r>
      <w:r>
        <w:rPr/>
        <w:t>connectivity in the Guadalquivir river basin, we will model extinction probability curves influenced by different disturbance regimes.</w:t>
      </w:r>
    </w:p>
    <w:p>
      <w:pPr>
        <w:pStyle w:val="ListParagraph"/>
        <w:tabs>
          <w:tab w:val="clear" w:pos="720"/>
          <w:tab w:val="left" w:pos="891" w:leader="none"/>
        </w:tabs>
        <w:spacing w:before="180" w:after="0"/>
        <w:ind w:left="891" w:right="0" w:hanging="0"/>
        <w:jc w:val="left"/>
        <w:rPr>
          <w:sz w:val="24"/>
        </w:rPr>
      </w:pPr>
      <w:r>
        <w:rPr>
          <w:sz w:val="24"/>
        </w:rPr>
        <w:t>This</w:t>
      </w:r>
      <w:r>
        <w:rPr>
          <w:spacing w:val="-4"/>
          <w:sz w:val="24"/>
        </w:rPr>
        <w:t xml:space="preserve"> </w:t>
      </w:r>
      <w:r>
        <w:rPr>
          <w:sz w:val="24"/>
        </w:rPr>
        <w:t>will</w:t>
      </w:r>
      <w:r>
        <w:rPr>
          <w:spacing w:val="-6"/>
          <w:sz w:val="24"/>
        </w:rPr>
        <w:t xml:space="preserve"> </w:t>
      </w:r>
      <w:r>
        <w:rPr>
          <w:sz w:val="24"/>
        </w:rPr>
        <w:t>be</w:t>
      </w:r>
      <w:r>
        <w:rPr>
          <w:spacing w:val="-6"/>
          <w:sz w:val="24"/>
        </w:rPr>
        <w:t xml:space="preserve"> </w:t>
      </w:r>
      <w:r>
        <w:rPr>
          <w:sz w:val="24"/>
        </w:rPr>
        <w:t>a</w:t>
      </w:r>
      <w:r>
        <w:rPr>
          <w:spacing w:val="-6"/>
          <w:sz w:val="24"/>
        </w:rPr>
        <w:t xml:space="preserve"> </w:t>
      </w:r>
      <w:r>
        <w:rPr>
          <w:sz w:val="24"/>
        </w:rPr>
        <w:t>two-step</w:t>
      </w:r>
      <w:r>
        <w:rPr>
          <w:spacing w:val="-4"/>
          <w:sz w:val="24"/>
        </w:rPr>
        <w:t xml:space="preserve"> </w:t>
      </w:r>
      <w:r>
        <w:rPr>
          <w:spacing w:val="-2"/>
          <w:sz w:val="24"/>
        </w:rPr>
        <w:t>approach:</w:t>
      </w:r>
    </w:p>
    <w:p>
      <w:pPr>
        <w:pStyle w:val="ListParagraph"/>
        <w:numPr>
          <w:ilvl w:val="1"/>
          <w:numId w:val="1"/>
        </w:numPr>
        <w:tabs>
          <w:tab w:val="clear" w:pos="720"/>
          <w:tab w:val="left" w:pos="891" w:leader="none"/>
        </w:tabs>
        <w:ind w:left="891" w:right="388" w:hanging="480"/>
        <w:rPr>
          <w:sz w:val="24"/>
        </w:rPr>
      </w:pPr>
      <w:r>
        <w:rPr>
          <w:sz w:val="24"/>
        </w:rPr>
        <w:t>Random</w:t>
      </w:r>
      <w:r>
        <w:rPr>
          <w:spacing w:val="74"/>
          <w:sz w:val="24"/>
        </w:rPr>
        <w:t xml:space="preserve"> </w:t>
      </w:r>
      <w:r>
        <w:rPr>
          <w:sz w:val="24"/>
        </w:rPr>
        <w:t>spatial</w:t>
      </w:r>
      <w:r>
        <w:rPr>
          <w:spacing w:val="77"/>
          <w:sz w:val="24"/>
        </w:rPr>
        <w:t xml:space="preserve"> </w:t>
      </w:r>
      <w:r>
        <w:rPr>
          <w:sz w:val="24"/>
        </w:rPr>
        <w:t>longitude-based</w:t>
      </w:r>
      <w:r>
        <w:rPr>
          <w:spacing w:val="77"/>
          <w:sz w:val="24"/>
        </w:rPr>
        <w:t xml:space="preserve"> </w:t>
      </w:r>
      <w:r>
        <w:rPr>
          <w:sz w:val="24"/>
        </w:rPr>
        <w:t>slices</w:t>
      </w:r>
      <w:r>
        <w:rPr>
          <w:spacing w:val="76"/>
          <w:sz w:val="24"/>
        </w:rPr>
        <w:t xml:space="preserve"> </w:t>
      </w:r>
      <w:r>
        <w:rPr>
          <w:sz w:val="24"/>
        </w:rPr>
        <w:t>along</w:t>
      </w:r>
      <w:r>
        <w:rPr>
          <w:spacing w:val="74"/>
          <w:sz w:val="24"/>
        </w:rPr>
        <w:t xml:space="preserve"> </w:t>
      </w:r>
      <w:r>
        <w:rPr>
          <w:sz w:val="24"/>
        </w:rPr>
        <w:t>the</w:t>
      </w:r>
      <w:r>
        <w:rPr>
          <w:spacing w:val="75"/>
          <w:sz w:val="24"/>
        </w:rPr>
        <w:t xml:space="preserve"> </w:t>
      </w:r>
      <w:r>
        <w:rPr>
          <w:sz w:val="24"/>
        </w:rPr>
        <w:t>basin</w:t>
      </w:r>
      <w:r>
        <w:rPr>
          <w:spacing w:val="76"/>
          <w:sz w:val="24"/>
        </w:rPr>
        <w:t xml:space="preserve"> </w:t>
      </w:r>
      <w:r>
        <w:rPr>
          <w:sz w:val="24"/>
        </w:rPr>
        <w:t>will</w:t>
      </w:r>
      <w:r>
        <w:rPr>
          <w:spacing w:val="75"/>
          <w:sz w:val="24"/>
        </w:rPr>
        <w:t xml:space="preserve"> </w:t>
      </w:r>
      <w:r>
        <w:rPr>
          <w:sz w:val="24"/>
        </w:rPr>
        <w:t>be</w:t>
      </w:r>
      <w:r>
        <w:rPr>
          <w:spacing w:val="75"/>
          <w:sz w:val="24"/>
        </w:rPr>
        <w:t xml:space="preserve"> </w:t>
      </w:r>
      <w:r>
        <w:rPr>
          <w:sz w:val="24"/>
        </w:rPr>
        <w:t>used</w:t>
      </w:r>
      <w:r>
        <w:rPr>
          <w:spacing w:val="75"/>
          <w:sz w:val="24"/>
        </w:rPr>
        <w:t xml:space="preserve"> </w:t>
      </w:r>
      <w:r>
        <w:rPr>
          <w:sz w:val="24"/>
        </w:rPr>
        <w:t>to</w:t>
      </w:r>
      <w:r>
        <w:rPr>
          <w:spacing w:val="75"/>
          <w:sz w:val="24"/>
        </w:rPr>
        <w:t xml:space="preserve"> </w:t>
      </w:r>
      <w:r>
        <w:rPr>
          <w:sz w:val="24"/>
        </w:rPr>
        <w:t>examine</w:t>
      </w:r>
      <w:r>
        <w:rPr>
          <w:spacing w:val="76"/>
          <w:sz w:val="24"/>
        </w:rPr>
        <w:t xml:space="preserve"> </w:t>
      </w:r>
      <w:r>
        <w:rPr>
          <w:sz w:val="24"/>
        </w:rPr>
        <w:t>the extinction patterns (Figure 2).</w:t>
      </w:r>
    </w:p>
    <w:p>
      <w:pPr>
        <w:pStyle w:val="ListParagraph"/>
        <w:numPr>
          <w:ilvl w:val="1"/>
          <w:numId w:val="1"/>
        </w:numPr>
        <w:tabs>
          <w:tab w:val="clear" w:pos="720"/>
          <w:tab w:val="left" w:pos="891" w:leader="none"/>
        </w:tabs>
        <w:ind w:left="891" w:right="0" w:hanging="480"/>
        <w:rPr>
          <w:sz w:val="24"/>
        </w:rPr>
      </w:pPr>
      <w:r>
        <w:rPr>
          <w:sz w:val="24"/>
        </w:rPr>
        <w:t>Each</w:t>
      </w:r>
      <w:r>
        <w:rPr>
          <w:spacing w:val="-5"/>
          <w:sz w:val="24"/>
        </w:rPr>
        <w:t xml:space="preserve"> </w:t>
      </w:r>
      <w:r>
        <w:rPr>
          <w:sz w:val="24"/>
        </w:rPr>
        <w:t>sub-basin</w:t>
      </w:r>
      <w:r>
        <w:rPr>
          <w:spacing w:val="-3"/>
          <w:sz w:val="24"/>
        </w:rPr>
        <w:t xml:space="preserve"> </w:t>
      </w:r>
      <w:r>
        <w:rPr>
          <w:sz w:val="24"/>
        </w:rPr>
        <w:t>will</w:t>
      </w:r>
      <w:r>
        <w:rPr>
          <w:spacing w:val="-5"/>
          <w:sz w:val="24"/>
        </w:rPr>
        <w:t xml:space="preserve"> </w:t>
      </w:r>
      <w:r>
        <w:rPr>
          <w:sz w:val="24"/>
        </w:rPr>
        <w:t>be</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set</w:t>
      </w:r>
      <w:r>
        <w:rPr>
          <w:spacing w:val="-6"/>
          <w:sz w:val="24"/>
        </w:rPr>
        <w:t xml:space="preserve"> </w:t>
      </w:r>
      <w:r>
        <w:rPr>
          <w:sz w:val="24"/>
        </w:rPr>
        <w:t>the</w:t>
      </w:r>
      <w:r>
        <w:rPr>
          <w:spacing w:val="-5"/>
          <w:sz w:val="24"/>
        </w:rPr>
        <w:t xml:space="preserve"> </w:t>
      </w:r>
      <w:r>
        <w:rPr>
          <w:sz w:val="24"/>
        </w:rPr>
        <w:t>limits</w:t>
      </w:r>
      <w:r>
        <w:rPr>
          <w:spacing w:val="-3"/>
          <w:sz w:val="24"/>
        </w:rPr>
        <w:t xml:space="preserve"> </w:t>
      </w:r>
      <w:r>
        <w:rPr>
          <w:sz w:val="24"/>
        </w:rPr>
        <w:t>for</w:t>
      </w:r>
      <w:r>
        <w:rPr>
          <w:spacing w:val="-5"/>
          <w:sz w:val="24"/>
        </w:rPr>
        <w:t xml:space="preserve"> </w:t>
      </w:r>
      <w:r>
        <w:rPr>
          <w:sz w:val="24"/>
        </w:rPr>
        <w:t>the</w:t>
      </w:r>
      <w:r>
        <w:rPr>
          <w:spacing w:val="-3"/>
          <w:sz w:val="24"/>
        </w:rPr>
        <w:t xml:space="preserve"> </w:t>
      </w:r>
      <w:r>
        <w:rPr>
          <w:sz w:val="24"/>
        </w:rPr>
        <w:t>curves'</w:t>
      </w:r>
      <w:r>
        <w:rPr>
          <w:spacing w:val="-4"/>
          <w:sz w:val="24"/>
        </w:rPr>
        <w:t xml:space="preserve"> </w:t>
      </w:r>
      <w:r>
        <w:rPr>
          <w:spacing w:val="-2"/>
          <w:sz w:val="24"/>
        </w:rPr>
        <w:t>extent, to reflect the connected reality of each watershed.</w:t>
      </w:r>
    </w:p>
    <w:p>
      <w:pPr>
        <w:pStyle w:val="TextBody"/>
        <w:spacing w:before="1" w:after="0"/>
        <w:rPr>
          <w:sz w:val="30"/>
        </w:rPr>
      </w:pPr>
      <w:r>
        <w:rPr>
          <w:sz w:val="30"/>
        </w:rPr>
      </w:r>
    </w:p>
    <w:p>
      <w:pPr>
        <w:pStyle w:val="TextBody"/>
        <w:spacing w:before="1" w:after="0"/>
        <w:rPr>
          <w:sz w:val="30"/>
        </w:rPr>
      </w:pPr>
      <w:r>
        <w:rPr>
          <w:sz w:val="30"/>
        </w:rPr>
      </w:r>
    </w:p>
    <w:p>
      <w:pPr>
        <w:pStyle w:val="TextBody"/>
        <w:spacing w:before="1" w:after="0"/>
        <w:rPr>
          <w:sz w:val="30"/>
        </w:rPr>
      </w:pPr>
      <w:r>
        <w:rPr>
          <w:sz w:val="30"/>
        </w:rPr>
      </w:r>
    </w:p>
    <w:p>
      <w:pPr>
        <w:pStyle w:val="TextBody"/>
        <w:spacing w:before="1" w:after="0"/>
        <w:rPr>
          <w:sz w:val="30"/>
        </w:rPr>
      </w:pPr>
      <w:r>
        <w:rPr>
          <w:sz w:val="30"/>
        </w:rPr>
      </w:r>
    </w:p>
    <w:p>
      <w:pPr>
        <w:pStyle w:val="TextBody"/>
        <w:ind w:left="411" w:right="396" w:hanging="0"/>
        <w:jc w:val="both"/>
        <w:rPr/>
      </w:pPr>
      <w:r>
        <w:rPr/>
        <w:t>By comparing these two patterns, we aim to understand if there are significant differences in extinction patterns and relate them to current disturbances in each sub-basin. When comparing the spatial slices vs. sub-basin approach, patterns of greater intra-basin variability vs. general variability might emerge.</w:t>
      </w:r>
      <w:r>
        <w:rPr>
          <w:sz w:val="24"/>
        </w:rPr>
        <w:t>We</w:t>
      </w:r>
      <w:r>
        <w:rPr>
          <w:spacing w:val="-5"/>
          <w:sz w:val="24"/>
        </w:rPr>
        <w:t xml:space="preserve"> </w:t>
      </w:r>
      <w:r>
        <w:rPr>
          <w:sz w:val="24"/>
        </w:rPr>
        <w:t>will</w:t>
      </w:r>
      <w:r>
        <w:rPr>
          <w:spacing w:val="-5"/>
          <w:sz w:val="24"/>
        </w:rPr>
        <w:t xml:space="preserve"> </w:t>
      </w:r>
      <w:r>
        <w:rPr>
          <w:sz w:val="24"/>
        </w:rPr>
        <w:t>calculate</w:t>
      </w:r>
      <w:r>
        <w:rPr>
          <w:spacing w:val="-3"/>
          <w:sz w:val="24"/>
        </w:rPr>
        <w:t xml:space="preserve"> </w:t>
      </w:r>
      <w:r>
        <w:rPr>
          <w:sz w:val="24"/>
        </w:rPr>
        <w:t>the</w:t>
      </w:r>
      <w:r>
        <w:rPr>
          <w:spacing w:val="-3"/>
          <w:sz w:val="24"/>
        </w:rPr>
        <w:t xml:space="preserve"> </w:t>
      </w:r>
      <w:r>
        <w:rPr>
          <w:sz w:val="24"/>
        </w:rPr>
        <w:t>extinction</w:t>
      </w:r>
      <w:r>
        <w:rPr>
          <w:spacing w:val="-5"/>
          <w:sz w:val="24"/>
        </w:rPr>
        <w:t xml:space="preserve"> </w:t>
      </w:r>
      <w:r>
        <w:rPr>
          <w:sz w:val="24"/>
        </w:rPr>
        <w:t>probability</w:t>
      </w:r>
      <w:r>
        <w:rPr>
          <w:spacing w:val="-5"/>
          <w:sz w:val="24"/>
        </w:rPr>
        <w:t xml:space="preserve"> </w:t>
      </w:r>
      <w:r>
        <w:rPr>
          <w:sz w:val="24"/>
        </w:rPr>
        <w:t>curves</w:t>
      </w:r>
      <w:r>
        <w:rPr>
          <w:spacing w:val="-3"/>
          <w:sz w:val="24"/>
        </w:rPr>
        <w:t xml:space="preserve"> </w:t>
      </w:r>
      <w:r>
        <w:rPr>
          <w:sz w:val="24"/>
        </w:rPr>
        <w:t>by:</w:t>
      </w:r>
    </w:p>
    <w:p>
      <w:pPr>
        <w:pStyle w:val="TextBody"/>
        <w:rPr>
          <w:sz w:val="27"/>
        </w:rPr>
      </w:pPr>
      <w:r>
        <w:rPr>
          <w:sz w:val="27"/>
        </w:rPr>
      </w:r>
    </w:p>
    <w:p>
      <w:pPr>
        <w:pStyle w:val="ListParagraph"/>
        <w:numPr>
          <w:ilvl w:val="2"/>
          <w:numId w:val="1"/>
        </w:numPr>
        <w:tabs>
          <w:tab w:val="clear" w:pos="720"/>
          <w:tab w:val="left" w:pos="891" w:leader="none"/>
        </w:tabs>
        <w:spacing w:before="0" w:after="0"/>
        <w:ind w:left="891" w:right="376" w:hanging="480"/>
        <w:rPr>
          <w:sz w:val="24"/>
        </w:rPr>
      </w:pPr>
      <w:r>
        <w:rPr>
          <w:sz w:val="24"/>
        </w:rPr>
        <w:t>Developing a map detailing the ratio of native to exotic species in each sampling point shown in Figure 1.</w:t>
      </w:r>
    </w:p>
    <w:p>
      <w:pPr>
        <w:pStyle w:val="ListParagraph"/>
        <w:numPr>
          <w:ilvl w:val="2"/>
          <w:numId w:val="1"/>
        </w:numPr>
        <w:tabs>
          <w:tab w:val="clear" w:pos="720"/>
          <w:tab w:val="left" w:pos="891" w:leader="none"/>
        </w:tabs>
        <w:spacing w:before="36" w:after="0"/>
        <w:ind w:left="891" w:right="393" w:hanging="480"/>
        <w:jc w:val="both"/>
        <w:rPr>
          <w:sz w:val="24"/>
        </w:rPr>
      </w:pPr>
      <w:r>
        <w:rPr>
          <w:sz w:val="24"/>
        </w:rPr>
        <w:t>Generating profiles of native species proportions across the Guadalquivir basin using longitudinal spatial slices. A preliminary approach is shown in Figures 1 and 2.</w:t>
      </w:r>
    </w:p>
    <w:p>
      <w:pPr>
        <w:pStyle w:val="ListParagraph"/>
        <w:numPr>
          <w:ilvl w:val="2"/>
          <w:numId w:val="1"/>
        </w:numPr>
        <w:tabs>
          <w:tab w:val="clear" w:pos="720"/>
          <w:tab w:val="left" w:pos="891" w:leader="none"/>
        </w:tabs>
        <w:ind w:left="891" w:right="396" w:hanging="480"/>
        <w:jc w:val="both"/>
        <w:rPr>
          <w:sz w:val="24"/>
        </w:rPr>
      </w:pPr>
      <w:r>
        <w:rPr>
          <w:sz w:val="24"/>
        </w:rPr>
        <w:t>Calculating the extinction probability curves using both the "spatial slices" and sub-basin methods to define curve limits.</w:t>
      </w:r>
    </w:p>
    <w:p>
      <w:pPr>
        <w:pStyle w:val="ListParagraph"/>
        <w:numPr>
          <w:ilvl w:val="2"/>
          <w:numId w:val="1"/>
        </w:numPr>
        <w:tabs>
          <w:tab w:val="clear" w:pos="720"/>
          <w:tab w:val="left" w:pos="891" w:leader="none"/>
        </w:tabs>
        <w:ind w:left="891" w:right="388" w:hanging="480"/>
        <w:jc w:val="both"/>
        <w:rPr>
          <w:sz w:val="24"/>
        </w:rPr>
      </w:pPr>
      <w:r>
        <w:rPr>
          <w:sz w:val="24"/>
        </w:rPr>
        <w:t xml:space="preserve">Comparing the extinction probabilities and identify “cold spots” – regions with a </w:t>
      </w:r>
      <w:r>
        <w:drawing>
          <wp:anchor behindDoc="1" distT="0" distB="0" distL="114300" distR="114300" simplePos="0" locked="0" layoutInCell="0" allowOverlap="1" relativeHeight="2">
            <wp:simplePos x="0" y="0"/>
            <wp:positionH relativeFrom="column">
              <wp:posOffset>736600</wp:posOffset>
            </wp:positionH>
            <wp:positionV relativeFrom="paragraph">
              <wp:posOffset>758190</wp:posOffset>
            </wp:positionV>
            <wp:extent cx="4648200" cy="3446145"/>
            <wp:effectExtent l="0" t="0" r="0" b="0"/>
            <wp:wrapSquare wrapText="bothSides"/>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4648200" cy="3446145"/>
                    </a:xfrm>
                    <a:prstGeom prst="rect">
                      <a:avLst/>
                    </a:prstGeom>
                  </pic:spPr>
                </pic:pic>
              </a:graphicData>
            </a:graphic>
          </wp:anchor>
        </w:drawing>
      </w:r>
      <w:r>
        <w:rPr>
          <w:sz w:val="24"/>
        </w:rPr>
        <w:t>notably high extinction probability. Preliminary analyses suggest local native extinction peaks at around 10% for all random longitudinal slices (Figure 2).</w:t>
      </w:r>
    </w:p>
    <w:p>
      <w:pPr>
        <w:pStyle w:val="Normal"/>
        <w:tabs>
          <w:tab w:val="clear" w:pos="720"/>
          <w:tab w:val="left" w:pos="891" w:leader="none"/>
        </w:tabs>
        <w:rPr>
          <w:sz w:val="24"/>
        </w:rPr>
      </w:pPr>
      <w:r>
        <w:rPr>
          <w:sz w:val="24"/>
        </w:rPr>
      </w:r>
    </w:p>
    <w:p>
      <w:pPr>
        <w:pStyle w:val="Normal"/>
        <w:tabs>
          <w:tab w:val="clear" w:pos="720"/>
          <w:tab w:val="left" w:pos="891" w:leader="none"/>
        </w:tabs>
        <w:rPr>
          <w:sz w:val="24"/>
        </w:rPr>
      </w:pPr>
      <w:r>
        <w:rPr>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pStyle w:val="Normal"/>
        <w:spacing w:before="140" w:after="0"/>
        <w:ind w:left="172" w:right="345" w:hanging="0"/>
        <w:rPr>
          <w:i/>
          <w:i/>
          <w:sz w:val="24"/>
        </w:rPr>
      </w:pPr>
      <w:r>
        <w:rPr>
          <w:i/>
          <w:sz w:val="24"/>
        </w:rPr>
      </w:r>
    </w:p>
    <w:p>
      <w:pPr>
        <w:sectPr>
          <w:type w:val="nextPage"/>
          <w:pgSz w:w="12240" w:h="15840"/>
          <w:pgMar w:left="1000" w:right="1060" w:gutter="0" w:header="0" w:top="1440" w:footer="0" w:bottom="280"/>
          <w:pgNumType w:fmt="decimal"/>
          <w:formProt w:val="false"/>
          <w:textDirection w:val="lrTb"/>
          <w:docGrid w:type="default" w:linePitch="100" w:charSpace="4096"/>
        </w:sectPr>
        <w:pStyle w:val="Normal"/>
        <w:spacing w:before="140" w:after="0"/>
        <w:ind w:left="172" w:right="345" w:hanging="0"/>
        <w:jc w:val="both"/>
        <w:rPr/>
      </w:pPr>
      <w:r>
        <w:rPr>
          <w:i/>
          <w:sz w:val="24"/>
        </w:rPr>
        <w:t>Figure</w:t>
      </w:r>
      <w:r>
        <w:rPr>
          <w:i/>
          <w:spacing w:val="40"/>
          <w:sz w:val="24"/>
        </w:rPr>
        <w:t xml:space="preserve"> </w:t>
      </w:r>
      <w:r>
        <w:rPr>
          <w:i/>
          <w:sz w:val="24"/>
        </w:rPr>
        <w:t>1:</w:t>
      </w:r>
      <w:r>
        <w:rPr>
          <w:i/>
          <w:spacing w:val="40"/>
          <w:sz w:val="24"/>
        </w:rPr>
        <w:t xml:space="preserve"> </w:t>
      </w:r>
      <w:r>
        <w:rPr>
          <w:i/>
          <w:sz w:val="24"/>
        </w:rPr>
        <w:t>Sampled</w:t>
      </w:r>
      <w:r>
        <w:rPr>
          <w:i/>
          <w:spacing w:val="40"/>
          <w:sz w:val="24"/>
        </w:rPr>
        <w:t xml:space="preserve"> </w:t>
      </w:r>
      <w:r>
        <w:rPr>
          <w:i/>
          <w:sz w:val="24"/>
        </w:rPr>
        <w:t>sites</w:t>
      </w:r>
      <w:r>
        <w:rPr>
          <w:i/>
          <w:spacing w:val="40"/>
          <w:sz w:val="24"/>
        </w:rPr>
        <w:t xml:space="preserve"> </w:t>
      </w:r>
      <w:r>
        <w:rPr>
          <w:i/>
          <w:sz w:val="24"/>
        </w:rPr>
        <w:t>in</w:t>
      </w:r>
      <w:r>
        <w:rPr>
          <w:i/>
          <w:spacing w:val="40"/>
          <w:sz w:val="24"/>
        </w:rPr>
        <w:t xml:space="preserve"> </w:t>
      </w:r>
      <w:r>
        <w:rPr>
          <w:i/>
          <w:sz w:val="24"/>
        </w:rPr>
        <w:t>the</w:t>
      </w:r>
      <w:r>
        <w:rPr>
          <w:i/>
          <w:spacing w:val="40"/>
          <w:sz w:val="24"/>
        </w:rPr>
        <w:t xml:space="preserve"> </w:t>
      </w:r>
      <w:r>
        <w:rPr>
          <w:i/>
          <w:sz w:val="24"/>
        </w:rPr>
        <w:t>Guadalquivir</w:t>
      </w:r>
      <w:r>
        <w:rPr>
          <w:i/>
          <w:spacing w:val="40"/>
          <w:sz w:val="24"/>
        </w:rPr>
        <w:t xml:space="preserve"> </w:t>
      </w:r>
      <w:r>
        <w:rPr>
          <w:i/>
          <w:sz w:val="24"/>
        </w:rPr>
        <w:t>basin</w:t>
      </w:r>
      <w:r>
        <w:rPr>
          <w:i/>
          <w:spacing w:val="40"/>
          <w:sz w:val="24"/>
        </w:rPr>
        <w:t xml:space="preserve"> </w:t>
      </w:r>
      <w:r>
        <w:rPr>
          <w:i/>
          <w:sz w:val="24"/>
        </w:rPr>
        <w:t>(red).</w:t>
      </w:r>
      <w:r>
        <w:rPr>
          <w:i/>
          <w:spacing w:val="40"/>
          <w:sz w:val="24"/>
        </w:rPr>
        <w:t xml:space="preserve"> </w:t>
      </w:r>
      <w:r>
        <w:rPr>
          <w:i/>
          <w:sz w:val="24"/>
        </w:rPr>
        <w:t>Coloured</w:t>
      </w:r>
      <w:r>
        <w:rPr>
          <w:i/>
          <w:spacing w:val="40"/>
          <w:sz w:val="24"/>
        </w:rPr>
        <w:t xml:space="preserve"> </w:t>
      </w:r>
      <w:r>
        <w:rPr>
          <w:i/>
          <w:sz w:val="24"/>
        </w:rPr>
        <w:t>stripes</w:t>
      </w:r>
      <w:r>
        <w:rPr>
          <w:i/>
          <w:spacing w:val="40"/>
          <w:sz w:val="24"/>
        </w:rPr>
        <w:t xml:space="preserve"> </w:t>
      </w:r>
      <w:r>
        <w:rPr>
          <w:i/>
          <w:sz w:val="24"/>
        </w:rPr>
        <w:t>in</w:t>
      </w:r>
      <w:r>
        <w:rPr>
          <w:i/>
          <w:spacing w:val="40"/>
          <w:sz w:val="24"/>
        </w:rPr>
        <w:t xml:space="preserve"> </w:t>
      </w:r>
      <w:r>
        <w:rPr>
          <w:i/>
          <w:sz w:val="24"/>
        </w:rPr>
        <w:t>the</w:t>
      </w:r>
      <w:r>
        <w:rPr>
          <w:i/>
          <w:spacing w:val="40"/>
          <w:sz w:val="24"/>
        </w:rPr>
        <w:t xml:space="preserve"> </w:t>
      </w:r>
      <w:r>
        <w:rPr>
          <w:i/>
          <w:sz w:val="24"/>
        </w:rPr>
        <w:t>background represent slices created along longitude-based bands used to select random sampling points for the null model of extinction probability. Selected sampled sites in each band are used for the density plot</w:t>
      </w:r>
      <w:r>
        <w:rPr>
          <w:i/>
          <w:spacing w:val="40"/>
          <w:sz w:val="24"/>
        </w:rPr>
        <w:t xml:space="preserve"> </w:t>
      </w:r>
      <w:r>
        <w:rPr>
          <w:i/>
          <w:sz w:val="24"/>
        </w:rPr>
        <w:t>in Figure 2.</w:t>
      </w:r>
    </w:p>
    <w:p>
      <w:pPr>
        <w:pStyle w:val="TextBody"/>
        <w:spacing w:before="100" w:after="0"/>
        <w:ind w:left="172" w:hanging="0"/>
        <w:rPr/>
      </w:pPr>
      <w:r>
        <w:rPr/>
        <w:drawing>
          <wp:anchor behindDoc="0" distT="0" distB="0" distL="114300" distR="114300" simplePos="0" locked="0" layoutInCell="0" allowOverlap="1" relativeHeight="3">
            <wp:simplePos x="0" y="0"/>
            <wp:positionH relativeFrom="column">
              <wp:posOffset>12700</wp:posOffset>
            </wp:positionH>
            <wp:positionV relativeFrom="page">
              <wp:posOffset>1162050</wp:posOffset>
            </wp:positionV>
            <wp:extent cx="5271770" cy="3169920"/>
            <wp:effectExtent l="0" t="0" r="0" b="0"/>
            <wp:wrapTopAndBottom/>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3"/>
                    <a:stretch>
                      <a:fillRect/>
                    </a:stretch>
                  </pic:blipFill>
                  <pic:spPr bwMode="auto">
                    <a:xfrm>
                      <a:off x="0" y="0"/>
                      <a:ext cx="5271770" cy="3169920"/>
                    </a:xfrm>
                    <a:prstGeom prst="rect">
                      <a:avLst/>
                    </a:prstGeom>
                  </pic:spPr>
                </pic:pic>
              </a:graphicData>
            </a:graphic>
          </wp:anchor>
        </w:drawing>
      </w:r>
      <w:bookmarkStart w:id="3" w:name="_bookmark0"/>
      <w:bookmarkStart w:id="4" w:name="_bookmark0"/>
      <w:bookmarkEnd w:id="4"/>
    </w:p>
    <w:p>
      <w:pPr>
        <w:pStyle w:val="TextBody"/>
        <w:spacing w:before="100" w:after="0"/>
        <w:ind w:left="172" w:hanging="0"/>
        <w:rPr/>
      </w:pPr>
      <w:r>
        <w:rPr/>
      </w:r>
    </w:p>
    <w:p>
      <w:pPr>
        <w:pStyle w:val="Heading2"/>
        <w:ind w:left="0" w:hanging="0"/>
        <w:jc w:val="both"/>
        <w:rPr>
          <w:sz w:val="24"/>
          <w:szCs w:val="24"/>
        </w:rPr>
      </w:pPr>
      <w:r>
        <w:rPr>
          <w:b w:val="false"/>
          <w:bCs w:val="false"/>
          <w:i/>
          <w:iCs/>
          <w:sz w:val="24"/>
          <w:szCs w:val="24"/>
        </w:rPr>
        <w:t xml:space="preserve">Figure 2: Density plot (density of sampling points) as a function of the fraction of native species (x-axis) in each longitudinal slice used for the null model, shown in Figure 1. In this hypothetical scenario, native populations collapse at around the 10% (0.1) mark in all cases and there is a high proportion of sites potentially at risk, with values between 30-10% </w:t>
      </w:r>
      <w:r>
        <w:rPr>
          <w:b w:val="false"/>
          <w:bCs w:val="false"/>
          <w:sz w:val="24"/>
          <w:szCs w:val="24"/>
        </w:rPr>
        <w:t>(</w:t>
      </w:r>
      <w:r>
        <w:rPr>
          <w:b w:val="false"/>
          <w:bCs w:val="false"/>
          <w:i/>
          <w:iCs/>
          <w:sz w:val="24"/>
          <w:szCs w:val="24"/>
        </w:rPr>
        <w:t xml:space="preserve">0.3 and 0.1).  </w:t>
      </w:r>
    </w:p>
    <w:p>
      <w:pPr>
        <w:pStyle w:val="Heading2"/>
        <w:ind w:left="0" w:hanging="0"/>
        <w:jc w:val="both"/>
        <w:rPr>
          <w:color w:val="4E80BC"/>
        </w:rPr>
      </w:pPr>
      <w:r>
        <w:rPr>
          <w:color w:val="4E80BC"/>
        </w:rPr>
      </w:r>
    </w:p>
    <w:p>
      <w:pPr>
        <w:pStyle w:val="Heading2"/>
        <w:ind w:left="0" w:hanging="0"/>
        <w:jc w:val="both"/>
        <w:rPr/>
      </w:pPr>
      <w:r>
        <w:rPr>
          <w:color w:val="4E80BC"/>
        </w:rPr>
        <w:t>Global</w:t>
      </w:r>
      <w:r>
        <w:rPr>
          <w:color w:val="4E80BC"/>
          <w:spacing w:val="-4"/>
        </w:rPr>
        <w:t xml:space="preserve"> </w:t>
      </w:r>
      <w:r>
        <w:rPr>
          <w:color w:val="4E80BC"/>
        </w:rPr>
        <w:t>change</w:t>
      </w:r>
      <w:r>
        <w:rPr>
          <w:color w:val="4E80BC"/>
          <w:spacing w:val="-3"/>
        </w:rPr>
        <w:t xml:space="preserve"> </w:t>
      </w:r>
      <w:r>
        <w:rPr>
          <w:color w:val="4E80BC"/>
          <w:spacing w:val="-2"/>
        </w:rPr>
        <w:t>scenarios</w:t>
      </w:r>
    </w:p>
    <w:p>
      <w:pPr>
        <w:pStyle w:val="TextBody"/>
        <w:spacing w:before="175" w:after="0"/>
        <w:ind w:left="172" w:right="391" w:hanging="0"/>
        <w:jc w:val="both"/>
        <w:rPr/>
      </w:pPr>
      <w:r>
        <w:rPr/>
        <w:t>Using existing data, we will conduct dynamic simulations to model the extinction probability of multiple species assemblages under different scenarios. These scenarios will encompass a range of factors, including:</w:t>
      </w:r>
    </w:p>
    <w:p>
      <w:pPr>
        <w:pStyle w:val="ListParagraph"/>
        <w:numPr>
          <w:ilvl w:val="3"/>
          <w:numId w:val="1"/>
        </w:numPr>
        <w:tabs>
          <w:tab w:val="clear" w:pos="720"/>
          <w:tab w:val="left" w:pos="891" w:leader="none"/>
        </w:tabs>
        <w:spacing w:before="178" w:after="0"/>
        <w:ind w:left="891" w:right="383" w:hanging="480"/>
        <w:rPr>
          <w:sz w:val="24"/>
        </w:rPr>
      </w:pPr>
      <w:r>
        <w:rPr>
          <w:b/>
          <w:sz w:val="24"/>
        </w:rPr>
        <w:t xml:space="preserve">Dendritic fragmentation: </w:t>
      </w:r>
      <w:r>
        <w:rPr>
          <w:sz w:val="24"/>
        </w:rPr>
        <w:t>We will assess the impact of fragmentation due to connectivity changes and the creation of reservoirs.</w:t>
      </w:r>
    </w:p>
    <w:p>
      <w:pPr>
        <w:pStyle w:val="ListParagraph"/>
        <w:numPr>
          <w:ilvl w:val="3"/>
          <w:numId w:val="1"/>
        </w:numPr>
        <w:tabs>
          <w:tab w:val="clear" w:pos="720"/>
          <w:tab w:val="left" w:pos="891" w:leader="none"/>
        </w:tabs>
        <w:ind w:left="891" w:right="388" w:hanging="480"/>
        <w:rPr>
          <w:sz w:val="24"/>
        </w:rPr>
      </w:pPr>
      <w:r>
        <w:rPr>
          <w:b/>
          <w:sz w:val="24"/>
        </w:rPr>
        <w:t xml:space="preserve">Exotic species dynamics: </w:t>
      </w:r>
      <w:r>
        <w:rPr>
          <w:sz w:val="24"/>
        </w:rPr>
        <w:t xml:space="preserve">Our model will simulate responses of native and endemic species to exotic species invasions, considering factors such as competition and </w:t>
      </w:r>
      <w:r>
        <w:rPr>
          <w:spacing w:val="-2"/>
          <w:sz w:val="24"/>
        </w:rPr>
        <w:t>predation.</w:t>
      </w:r>
    </w:p>
    <w:p>
      <w:pPr>
        <w:pStyle w:val="ListParagraph"/>
        <w:numPr>
          <w:ilvl w:val="3"/>
          <w:numId w:val="1"/>
        </w:numPr>
        <w:tabs>
          <w:tab w:val="clear" w:pos="720"/>
          <w:tab w:val="left" w:pos="891" w:leader="none"/>
        </w:tabs>
        <w:spacing w:before="36" w:after="0"/>
        <w:ind w:left="891" w:right="388" w:hanging="480"/>
        <w:rPr>
          <w:sz w:val="24"/>
        </w:rPr>
      </w:pPr>
      <w:r>
        <w:rPr>
          <w:b/>
          <w:sz w:val="24"/>
        </w:rPr>
        <w:t xml:space="preserve">Climate change effects: </w:t>
      </w:r>
      <w:r>
        <w:rPr>
          <w:sz w:val="24"/>
        </w:rPr>
        <w:t>We will account for increased drought and desiccation, reduction in channel width, and habitat loss, all of which are projected effects of climate change.</w:t>
      </w:r>
    </w:p>
    <w:p>
      <w:pPr>
        <w:sectPr>
          <w:type w:val="nextPage"/>
          <w:pgSz w:w="12240" w:h="15840"/>
          <w:pgMar w:left="1000" w:right="1060" w:gutter="0" w:header="0" w:top="1520" w:footer="0" w:bottom="280"/>
          <w:pgNumType w:fmt="decimal"/>
          <w:formProt w:val="false"/>
          <w:textDirection w:val="lrTb"/>
          <w:docGrid w:type="default" w:linePitch="100" w:charSpace="4096"/>
        </w:sectPr>
        <w:pStyle w:val="ListParagraph"/>
        <w:numPr>
          <w:ilvl w:val="3"/>
          <w:numId w:val="1"/>
        </w:numPr>
        <w:tabs>
          <w:tab w:val="clear" w:pos="720"/>
          <w:tab w:val="left" w:pos="891" w:leader="none"/>
        </w:tabs>
        <w:spacing w:before="34" w:after="0"/>
        <w:ind w:left="891" w:right="383" w:hanging="480"/>
        <w:rPr>
          <w:sz w:val="24"/>
        </w:rPr>
      </w:pPr>
      <w:r>
        <w:rPr>
          <w:b/>
          <w:sz w:val="24"/>
        </w:rPr>
        <w:t xml:space="preserve">Anthropogenic land-use changes: </w:t>
      </w:r>
      <w:r>
        <w:rPr>
          <w:sz w:val="24"/>
        </w:rPr>
        <w:t>Our simulations will consider the gradient of anthropic uses as derived from previous results from our research group</w:t>
      </w:r>
      <w:r>
        <w:rPr>
          <w:color w:val="000000"/>
          <w:sz w:val="24"/>
        </w:rPr>
        <w:t xml:space="preserve"> and the specific sensitivity of each species to these disturbances.</w:t>
      </w:r>
    </w:p>
    <w:p>
      <w:pPr>
        <w:pStyle w:val="Heading1"/>
        <w:spacing w:before="7" w:after="0"/>
        <w:rPr/>
      </w:pPr>
      <w:bookmarkStart w:id="5" w:name="Methods"/>
      <w:bookmarkEnd w:id="5"/>
      <w:r>
        <w:rPr>
          <w:color w:val="4E80BC"/>
        </w:rPr>
        <w:t>Platform</w:t>
      </w:r>
      <w:r>
        <w:rPr>
          <w:color w:val="4E80BC"/>
          <w:spacing w:val="-8"/>
        </w:rPr>
        <w:t xml:space="preserve"> </w:t>
      </w:r>
      <w:r>
        <w:rPr>
          <w:color w:val="4E80BC"/>
        </w:rPr>
        <w:t>for</w:t>
      </w:r>
      <w:r>
        <w:rPr>
          <w:color w:val="4E80BC"/>
          <w:spacing w:val="-8"/>
        </w:rPr>
        <w:t xml:space="preserve"> </w:t>
      </w:r>
      <w:r>
        <w:rPr>
          <w:color w:val="4E80BC"/>
        </w:rPr>
        <w:t>knowledge</w:t>
      </w:r>
      <w:r>
        <w:rPr>
          <w:color w:val="4E80BC"/>
          <w:spacing w:val="-9"/>
        </w:rPr>
        <w:t xml:space="preserve"> </w:t>
      </w:r>
      <w:r>
        <w:rPr>
          <w:color w:val="4E80BC"/>
          <w:spacing w:val="-2"/>
        </w:rPr>
        <w:t>transfer</w:t>
      </w:r>
    </w:p>
    <w:p>
      <w:pPr>
        <w:pStyle w:val="TextBody"/>
        <w:spacing w:before="5" w:after="0"/>
        <w:rPr>
          <w:rFonts w:ascii="Calibri" w:hAnsi="Calibri"/>
          <w:b/>
          <w:b/>
          <w:sz w:val="34"/>
        </w:rPr>
      </w:pPr>
      <w:r>
        <w:rPr>
          <w:rFonts w:ascii="Calibri" w:hAnsi="Calibri"/>
          <w:b/>
          <w:sz w:val="34"/>
        </w:rPr>
      </w:r>
    </w:p>
    <w:p>
      <w:pPr>
        <w:pStyle w:val="TextBody"/>
        <w:ind w:left="172" w:right="391" w:hanging="0"/>
        <w:jc w:val="both"/>
        <w:rPr/>
      </w:pPr>
      <w:r>
        <w:rPr/>
        <w:t xml:space="preserve">The progress of our research will be tracked via a git repository with a final interface that visualizes all steps of the results. This software will form the core product for reporting and will facilitate efficient knowledge transfer during the project's timeline. </w:t>
      </w:r>
    </w:p>
    <w:p>
      <w:pPr>
        <w:pStyle w:val="TextBody"/>
        <w:rPr>
          <w:sz w:val="28"/>
        </w:rPr>
      </w:pPr>
      <w:r>
        <w:rPr>
          <w:sz w:val="28"/>
        </w:rPr>
      </w:r>
    </w:p>
    <w:p>
      <w:pPr>
        <w:pStyle w:val="TextBody"/>
        <w:spacing w:before="6" w:after="0"/>
        <w:rPr>
          <w:sz w:val="40"/>
        </w:rPr>
      </w:pPr>
      <w:r>
        <w:rPr>
          <w:sz w:val="40"/>
        </w:rPr>
      </w:r>
    </w:p>
    <w:p>
      <w:pPr>
        <w:pStyle w:val="Heading1"/>
        <w:rPr/>
      </w:pPr>
      <w:bookmarkStart w:id="6" w:name="Budget"/>
      <w:bookmarkEnd w:id="6"/>
      <w:r>
        <w:rPr>
          <w:color w:val="4E80BC"/>
          <w:spacing w:val="-2"/>
        </w:rPr>
        <w:t>Budget</w:t>
      </w:r>
    </w:p>
    <w:p>
      <w:pPr>
        <w:pStyle w:val="TextBody"/>
        <w:spacing w:before="274" w:after="0"/>
        <w:ind w:left="172" w:right="390" w:hanging="0"/>
        <w:jc w:val="both"/>
        <w:rPr/>
      </w:pPr>
      <w:r>
        <w:rPr/>
        <w:t>The project is planned to run</w:t>
      </w:r>
      <w:r>
        <w:rPr>
          <w:spacing w:val="-1"/>
        </w:rPr>
        <w:t xml:space="preserve"> </w:t>
      </w:r>
      <w:r>
        <w:rPr/>
        <w:t>from</w:t>
      </w:r>
      <w:r>
        <w:rPr>
          <w:spacing w:val="-1"/>
        </w:rPr>
        <w:t xml:space="preserve"> </w:t>
      </w:r>
      <w:r>
        <w:rPr/>
        <w:t>the</w:t>
      </w:r>
      <w:r>
        <w:rPr>
          <w:spacing w:val="-2"/>
        </w:rPr>
        <w:t xml:space="preserve"> </w:t>
      </w:r>
      <w:r>
        <w:rPr/>
        <w:t>fall 2023 until fall 2024 (1</w:t>
      </w:r>
      <w:r>
        <w:rPr>
          <w:spacing w:val="-2"/>
        </w:rPr>
        <w:t xml:space="preserve"> </w:t>
      </w:r>
      <w:r>
        <w:rPr/>
        <w:t>year).</w:t>
      </w:r>
      <w:r>
        <w:rPr>
          <w:spacing w:val="-2"/>
        </w:rPr>
        <w:t xml:space="preserve"> </w:t>
      </w:r>
      <w:r>
        <w:rPr/>
        <w:t>This timeline includes the dedicated involvement of a data scientist for the entire year. Their role will encompass developing</w:t>
      </w:r>
      <w:r>
        <w:rPr>
          <w:spacing w:val="-1"/>
        </w:rPr>
        <w:t xml:space="preserve"> </w:t>
      </w:r>
      <w:r>
        <w:rPr/>
        <w:t>and implementing</w:t>
      </w:r>
      <w:r>
        <w:rPr>
          <w:spacing w:val="-1"/>
        </w:rPr>
        <w:t xml:space="preserve"> </w:t>
      </w:r>
      <w:r>
        <w:rPr/>
        <w:t>the</w:t>
      </w:r>
      <w:r>
        <w:rPr>
          <w:spacing w:val="-2"/>
        </w:rPr>
        <w:t xml:space="preserve"> </w:t>
      </w:r>
      <w:r>
        <w:rPr/>
        <w:t>simulation</w:t>
      </w:r>
      <w:r>
        <w:rPr>
          <w:spacing w:val="-1"/>
        </w:rPr>
        <w:t xml:space="preserve"> </w:t>
      </w:r>
      <w:r>
        <w:rPr/>
        <w:t>model, running</w:t>
      </w:r>
      <w:r>
        <w:rPr>
          <w:spacing w:val="-1"/>
        </w:rPr>
        <w:t xml:space="preserve"> </w:t>
      </w:r>
      <w:r>
        <w:rPr/>
        <w:t>and</w:t>
      </w:r>
      <w:r>
        <w:rPr>
          <w:spacing w:val="-2"/>
        </w:rPr>
        <w:t xml:space="preserve"> </w:t>
      </w:r>
      <w:r>
        <w:rPr/>
        <w:t>evaluating</w:t>
      </w:r>
      <w:r>
        <w:rPr>
          <w:spacing w:val="-1"/>
        </w:rPr>
        <w:t xml:space="preserve"> </w:t>
      </w:r>
      <w:r>
        <w:rPr/>
        <w:t>the robustness</w:t>
      </w:r>
      <w:r>
        <w:rPr>
          <w:spacing w:val="-2"/>
        </w:rPr>
        <w:t xml:space="preserve"> </w:t>
      </w:r>
      <w:r>
        <w:rPr/>
        <w:t>of various scenarios, and creating a user-friendly software interface that facilitates efficient knowledge transfer.</w:t>
      </w:r>
    </w:p>
    <w:p>
      <w:pPr>
        <w:pStyle w:val="TextBody"/>
        <w:rPr>
          <w:sz w:val="20"/>
        </w:rPr>
      </w:pPr>
      <w:r>
        <w:rPr>
          <w:sz w:val="20"/>
        </w:rPr>
      </w:r>
    </w:p>
    <w:p>
      <w:pPr>
        <w:pStyle w:val="TextBody"/>
        <w:rPr>
          <w:sz w:val="20"/>
        </w:rPr>
      </w:pPr>
      <w:r>
        <w:rPr>
          <w:sz w:val="20"/>
        </w:rPr>
      </w:r>
    </w:p>
    <w:p>
      <w:pPr>
        <w:pStyle w:val="TextBody"/>
        <w:rPr>
          <w:sz w:val="20"/>
        </w:rPr>
      </w:pPr>
      <w:r>
        <w:rPr>
          <w:sz w:val="20"/>
        </w:rPr>
      </w:r>
    </w:p>
    <w:tbl>
      <w:tblPr>
        <w:tblW w:w="7395" w:type="dxa"/>
        <w:jc w:val="left"/>
        <w:tblInd w:w="177" w:type="dxa"/>
        <w:tblLayout w:type="fixed"/>
        <w:tblCellMar>
          <w:top w:w="0" w:type="dxa"/>
          <w:left w:w="0" w:type="dxa"/>
          <w:bottom w:w="0" w:type="dxa"/>
          <w:right w:w="0" w:type="dxa"/>
        </w:tblCellMar>
        <w:tblLook w:val="01e0" w:noHBand="0" w:noVBand="0" w:firstColumn="1" w:lastRow="1" w:lastColumn="1" w:firstRow="1"/>
      </w:tblPr>
      <w:tblGrid>
        <w:gridCol w:w="1648"/>
        <w:gridCol w:w="2215"/>
        <w:gridCol w:w="1766"/>
        <w:gridCol w:w="1765"/>
      </w:tblGrid>
      <w:tr>
        <w:trPr>
          <w:trHeight w:val="480" w:hRule="atLeast"/>
        </w:trPr>
        <w:tc>
          <w:tcPr>
            <w:tcW w:w="1648" w:type="dxa"/>
            <w:tcBorders>
              <w:bottom w:val="single" w:sz="6" w:space="0" w:color="000000"/>
            </w:tcBorders>
          </w:tcPr>
          <w:p>
            <w:pPr>
              <w:pStyle w:val="TableParagraph"/>
              <w:widowControl w:val="false"/>
              <w:spacing w:before="0" w:after="0"/>
              <w:ind w:left="124" w:right="57" w:hanging="0"/>
              <w:jc w:val="center"/>
              <w:rPr>
                <w:bCs/>
                <w:sz w:val="24"/>
              </w:rPr>
            </w:pPr>
            <w:bookmarkStart w:id="7" w:name="_Hlk139012459"/>
            <w:r>
              <w:rPr>
                <w:bCs/>
                <w:spacing w:val="-4"/>
                <w:sz w:val="24"/>
              </w:rPr>
              <w:t>Item</w:t>
            </w:r>
          </w:p>
        </w:tc>
        <w:tc>
          <w:tcPr>
            <w:tcW w:w="2215" w:type="dxa"/>
            <w:tcBorders>
              <w:bottom w:val="single" w:sz="6" w:space="0" w:color="000000"/>
            </w:tcBorders>
          </w:tcPr>
          <w:p>
            <w:pPr>
              <w:pStyle w:val="TableParagraph"/>
              <w:widowControl w:val="false"/>
              <w:spacing w:before="0" w:after="0"/>
              <w:rPr>
                <w:bCs/>
                <w:sz w:val="24"/>
              </w:rPr>
            </w:pPr>
            <w:r>
              <w:rPr>
                <w:bCs/>
                <w:spacing w:val="-2"/>
                <w:sz w:val="24"/>
              </w:rPr>
              <w:t>Description</w:t>
            </w:r>
          </w:p>
        </w:tc>
        <w:tc>
          <w:tcPr>
            <w:tcW w:w="1766" w:type="dxa"/>
            <w:tcBorders>
              <w:bottom w:val="single" w:sz="6" w:space="0" w:color="000000"/>
            </w:tcBorders>
          </w:tcPr>
          <w:p>
            <w:pPr>
              <w:pStyle w:val="TableParagraph"/>
              <w:widowControl w:val="false"/>
              <w:spacing w:before="0" w:after="0"/>
              <w:ind w:left="313" w:hanging="0"/>
              <w:rPr>
                <w:bCs/>
                <w:sz w:val="24"/>
              </w:rPr>
            </w:pPr>
            <w:r>
              <w:rPr>
                <w:bCs/>
                <w:spacing w:val="-2"/>
                <w:sz w:val="24"/>
              </w:rPr>
              <w:t>Duration</w:t>
            </w:r>
          </w:p>
        </w:tc>
        <w:tc>
          <w:tcPr>
            <w:tcW w:w="1765" w:type="dxa"/>
            <w:tcBorders>
              <w:bottom w:val="single" w:sz="6" w:space="0" w:color="000000"/>
            </w:tcBorders>
          </w:tcPr>
          <w:p>
            <w:pPr>
              <w:pStyle w:val="TableParagraph"/>
              <w:widowControl w:val="false"/>
              <w:spacing w:before="0" w:after="0"/>
              <w:ind w:left="313" w:hanging="0"/>
              <w:rPr>
                <w:bCs/>
                <w:spacing w:val="-2"/>
                <w:sz w:val="24"/>
              </w:rPr>
            </w:pPr>
            <w:r>
              <w:rPr>
                <w:bCs/>
                <w:spacing w:val="-2"/>
                <w:sz w:val="24"/>
              </w:rPr>
              <w:t>Total (EUR)</w:t>
            </w:r>
          </w:p>
        </w:tc>
      </w:tr>
      <w:tr>
        <w:trPr>
          <w:trHeight w:val="455" w:hRule="atLeast"/>
        </w:trPr>
        <w:tc>
          <w:tcPr>
            <w:tcW w:w="1648" w:type="dxa"/>
            <w:tcBorders>
              <w:top w:val="single" w:sz="6" w:space="0" w:color="000000"/>
            </w:tcBorders>
          </w:tcPr>
          <w:p>
            <w:pPr>
              <w:pStyle w:val="TableParagraph"/>
              <w:widowControl w:val="false"/>
              <w:spacing w:lineRule="exact" w:line="210" w:before="0" w:after="0"/>
              <w:ind w:left="124" w:right="59" w:hanging="0"/>
              <w:jc w:val="center"/>
              <w:rPr>
                <w:bCs/>
                <w:sz w:val="18"/>
              </w:rPr>
            </w:pPr>
            <w:r>
              <w:rPr>
                <w:bCs/>
                <w:sz w:val="18"/>
              </w:rPr>
              <w:t>Computer</w:t>
            </w:r>
            <w:r>
              <w:rPr>
                <w:bCs/>
                <w:spacing w:val="-10"/>
                <w:sz w:val="18"/>
              </w:rPr>
              <w:t xml:space="preserve"> </w:t>
            </w:r>
            <w:r>
              <w:rPr>
                <w:bCs/>
                <w:spacing w:val="-2"/>
                <w:sz w:val="18"/>
              </w:rPr>
              <w:t>scientist</w:t>
            </w:r>
          </w:p>
        </w:tc>
        <w:tc>
          <w:tcPr>
            <w:tcW w:w="2215" w:type="dxa"/>
            <w:tcBorders>
              <w:top w:val="single" w:sz="6" w:space="0" w:color="000000"/>
            </w:tcBorders>
          </w:tcPr>
          <w:p>
            <w:pPr>
              <w:pStyle w:val="TableParagraph"/>
              <w:widowControl w:val="false"/>
              <w:spacing w:before="0" w:after="0"/>
              <w:ind w:left="65" w:right="311" w:hanging="0"/>
              <w:rPr>
                <w:bCs/>
                <w:sz w:val="18"/>
              </w:rPr>
            </w:pPr>
            <w:r>
              <w:rPr>
                <w:bCs/>
                <w:sz w:val="18"/>
              </w:rPr>
              <w:t>Developing</w:t>
            </w:r>
            <w:r>
              <w:rPr>
                <w:bCs/>
                <w:spacing w:val="-4"/>
                <w:sz w:val="18"/>
              </w:rPr>
              <w:t xml:space="preserve"> </w:t>
            </w:r>
            <w:r>
              <w:rPr>
                <w:bCs/>
                <w:sz w:val="18"/>
              </w:rPr>
              <w:t>codes</w:t>
            </w:r>
            <w:r>
              <w:rPr>
                <w:bCs/>
                <w:spacing w:val="-5"/>
                <w:sz w:val="18"/>
              </w:rPr>
              <w:t xml:space="preserve"> </w:t>
            </w:r>
            <w:r>
              <w:rPr>
                <w:bCs/>
                <w:sz w:val="18"/>
              </w:rPr>
              <w:t>in</w:t>
            </w:r>
            <w:r>
              <w:rPr>
                <w:bCs/>
                <w:spacing w:val="40"/>
                <w:sz w:val="18"/>
              </w:rPr>
              <w:t xml:space="preserve"> </w:t>
            </w:r>
            <w:r>
              <w:rPr>
                <w:bCs/>
                <w:sz w:val="18"/>
              </w:rPr>
              <w:t>Julia</w:t>
            </w:r>
            <w:r>
              <w:rPr>
                <w:bCs/>
                <w:spacing w:val="-5"/>
                <w:sz w:val="18"/>
              </w:rPr>
              <w:t xml:space="preserve"> </w:t>
            </w:r>
            <w:r>
              <w:rPr>
                <w:bCs/>
                <w:sz w:val="18"/>
              </w:rPr>
              <w:t>comp.</w:t>
            </w:r>
            <w:r>
              <w:rPr>
                <w:bCs/>
                <w:spacing w:val="-5"/>
                <w:sz w:val="18"/>
              </w:rPr>
              <w:t xml:space="preserve"> </w:t>
            </w:r>
            <w:r>
              <w:rPr>
                <w:bCs/>
                <w:spacing w:val="-2"/>
                <w:sz w:val="18"/>
              </w:rPr>
              <w:t>language</w:t>
            </w:r>
          </w:p>
        </w:tc>
        <w:tc>
          <w:tcPr>
            <w:tcW w:w="1766" w:type="dxa"/>
            <w:tcBorders>
              <w:top w:val="single" w:sz="6" w:space="0" w:color="000000"/>
            </w:tcBorders>
          </w:tcPr>
          <w:p>
            <w:pPr>
              <w:pStyle w:val="TableParagraph"/>
              <w:widowControl w:val="false"/>
              <w:spacing w:lineRule="exact" w:line="210" w:before="0" w:after="0"/>
              <w:ind w:left="400" w:hanging="0"/>
              <w:rPr>
                <w:bCs/>
                <w:sz w:val="18"/>
              </w:rPr>
            </w:pPr>
            <w:r>
              <w:rPr>
                <w:bCs/>
                <w:sz w:val="18"/>
              </w:rPr>
              <w:t>6</w:t>
            </w:r>
            <w:r>
              <w:rPr>
                <w:bCs/>
                <w:spacing w:val="-2"/>
                <w:sz w:val="18"/>
              </w:rPr>
              <w:t xml:space="preserve"> months</w:t>
            </w:r>
          </w:p>
        </w:tc>
        <w:tc>
          <w:tcPr>
            <w:tcW w:w="1765" w:type="dxa"/>
            <w:tcBorders>
              <w:top w:val="single" w:sz="6" w:space="0" w:color="000000"/>
            </w:tcBorders>
          </w:tcPr>
          <w:p>
            <w:pPr>
              <w:pStyle w:val="TableParagraph"/>
              <w:widowControl w:val="false"/>
              <w:spacing w:lineRule="exact" w:line="210" w:before="0" w:after="0"/>
              <w:ind w:left="400" w:hanging="0"/>
              <w:rPr>
                <w:bCs/>
                <w:sz w:val="18"/>
              </w:rPr>
            </w:pPr>
            <w:r>
              <w:rPr>
                <w:bCs/>
                <w:sz w:val="18"/>
              </w:rPr>
              <w:t>15k</w:t>
            </w:r>
          </w:p>
        </w:tc>
      </w:tr>
      <w:tr>
        <w:trPr>
          <w:trHeight w:val="496" w:hRule="atLeast"/>
        </w:trPr>
        <w:tc>
          <w:tcPr>
            <w:tcW w:w="1648" w:type="dxa"/>
            <w:tcBorders/>
          </w:tcPr>
          <w:p>
            <w:pPr>
              <w:pStyle w:val="TableParagraph"/>
              <w:widowControl w:val="false"/>
              <w:spacing w:before="34" w:after="0"/>
              <w:ind w:left="124" w:right="59" w:hanging="0"/>
              <w:jc w:val="center"/>
              <w:rPr>
                <w:bCs/>
                <w:sz w:val="18"/>
              </w:rPr>
            </w:pPr>
            <w:r>
              <w:rPr>
                <w:bCs/>
                <w:sz w:val="18"/>
              </w:rPr>
              <w:t>Computer</w:t>
            </w:r>
            <w:r>
              <w:rPr>
                <w:bCs/>
                <w:spacing w:val="-10"/>
                <w:sz w:val="18"/>
              </w:rPr>
              <w:t xml:space="preserve"> </w:t>
            </w:r>
            <w:r>
              <w:rPr>
                <w:bCs/>
                <w:spacing w:val="-2"/>
                <w:sz w:val="18"/>
              </w:rPr>
              <w:t>scientist</w:t>
            </w:r>
          </w:p>
        </w:tc>
        <w:tc>
          <w:tcPr>
            <w:tcW w:w="2215" w:type="dxa"/>
            <w:tcBorders/>
          </w:tcPr>
          <w:p>
            <w:pPr>
              <w:pStyle w:val="TableParagraph"/>
              <w:widowControl w:val="false"/>
              <w:spacing w:before="34" w:after="0"/>
              <w:ind w:left="65" w:right="910" w:hanging="0"/>
              <w:rPr>
                <w:bCs/>
                <w:sz w:val="18"/>
              </w:rPr>
            </w:pPr>
            <w:r>
              <w:rPr>
                <w:bCs/>
                <w:sz w:val="18"/>
              </w:rPr>
              <w:t>Maintenance</w:t>
            </w:r>
            <w:r>
              <w:rPr>
                <w:bCs/>
                <w:spacing w:val="-10"/>
                <w:sz w:val="18"/>
              </w:rPr>
              <w:t xml:space="preserve"> </w:t>
            </w:r>
            <w:r>
              <w:rPr>
                <w:bCs/>
                <w:sz w:val="18"/>
              </w:rPr>
              <w:t>git</w:t>
            </w:r>
            <w:r>
              <w:rPr>
                <w:bCs/>
                <w:spacing w:val="40"/>
                <w:sz w:val="18"/>
              </w:rPr>
              <w:t xml:space="preserve"> </w:t>
            </w:r>
            <w:r>
              <w:rPr>
                <w:bCs/>
                <w:spacing w:val="-2"/>
                <w:sz w:val="18"/>
              </w:rPr>
              <w:t>repository</w:t>
            </w:r>
          </w:p>
        </w:tc>
        <w:tc>
          <w:tcPr>
            <w:tcW w:w="1766" w:type="dxa"/>
            <w:tcBorders/>
          </w:tcPr>
          <w:p>
            <w:pPr>
              <w:pStyle w:val="TableParagraph"/>
              <w:widowControl w:val="false"/>
              <w:spacing w:before="34" w:after="0"/>
              <w:ind w:left="424" w:hanging="0"/>
              <w:rPr>
                <w:bCs/>
                <w:sz w:val="18"/>
              </w:rPr>
            </w:pPr>
            <w:r>
              <w:rPr>
                <w:bCs/>
                <w:sz w:val="18"/>
              </w:rPr>
              <w:t>Full</w:t>
            </w:r>
            <w:r>
              <w:rPr>
                <w:bCs/>
                <w:spacing w:val="-5"/>
                <w:sz w:val="18"/>
              </w:rPr>
              <w:t xml:space="preserve"> </w:t>
            </w:r>
            <w:r>
              <w:rPr>
                <w:bCs/>
                <w:spacing w:val="-4"/>
                <w:sz w:val="18"/>
              </w:rPr>
              <w:t>year</w:t>
            </w:r>
          </w:p>
        </w:tc>
        <w:tc>
          <w:tcPr>
            <w:tcW w:w="1765" w:type="dxa"/>
            <w:tcBorders/>
          </w:tcPr>
          <w:p>
            <w:pPr>
              <w:pStyle w:val="TableParagraph"/>
              <w:widowControl w:val="false"/>
              <w:spacing w:before="34" w:after="0"/>
              <w:ind w:left="424" w:hanging="0"/>
              <w:rPr>
                <w:bCs/>
                <w:sz w:val="18"/>
              </w:rPr>
            </w:pPr>
            <w:r>
              <w:rPr>
                <w:bCs/>
                <w:sz w:val="18"/>
              </w:rPr>
              <w:t>3k</w:t>
            </w:r>
          </w:p>
        </w:tc>
      </w:tr>
      <w:tr>
        <w:trPr>
          <w:trHeight w:val="503" w:hRule="atLeast"/>
        </w:trPr>
        <w:tc>
          <w:tcPr>
            <w:tcW w:w="1648" w:type="dxa"/>
            <w:tcBorders/>
          </w:tcPr>
          <w:p>
            <w:pPr>
              <w:pStyle w:val="TableParagraph"/>
              <w:widowControl w:val="false"/>
              <w:spacing w:before="42" w:after="0"/>
              <w:ind w:left="124" w:right="59" w:hanging="0"/>
              <w:jc w:val="center"/>
              <w:rPr>
                <w:bCs/>
                <w:sz w:val="18"/>
              </w:rPr>
            </w:pPr>
            <w:r>
              <w:rPr>
                <w:bCs/>
                <w:sz w:val="18"/>
              </w:rPr>
              <w:t>Computer</w:t>
            </w:r>
            <w:r>
              <w:rPr>
                <w:bCs/>
                <w:spacing w:val="-10"/>
                <w:sz w:val="18"/>
              </w:rPr>
              <w:t xml:space="preserve"> </w:t>
            </w:r>
            <w:r>
              <w:rPr>
                <w:bCs/>
                <w:spacing w:val="-2"/>
                <w:sz w:val="18"/>
              </w:rPr>
              <w:t>scientist</w:t>
            </w:r>
          </w:p>
        </w:tc>
        <w:tc>
          <w:tcPr>
            <w:tcW w:w="2215" w:type="dxa"/>
            <w:tcBorders/>
          </w:tcPr>
          <w:p>
            <w:pPr>
              <w:pStyle w:val="TableParagraph"/>
              <w:widowControl w:val="false"/>
              <w:spacing w:before="42" w:after="0"/>
              <w:ind w:left="65" w:right="311" w:hanging="0"/>
              <w:rPr>
                <w:bCs/>
                <w:sz w:val="18"/>
              </w:rPr>
            </w:pPr>
            <w:r>
              <w:rPr>
                <w:bCs/>
                <w:sz w:val="18"/>
              </w:rPr>
              <w:t>Interface</w:t>
            </w:r>
            <w:r>
              <w:rPr>
                <w:bCs/>
                <w:spacing w:val="-10"/>
                <w:sz w:val="18"/>
              </w:rPr>
              <w:t xml:space="preserve"> </w:t>
            </w:r>
            <w:r>
              <w:rPr>
                <w:bCs/>
                <w:sz w:val="18"/>
              </w:rPr>
              <w:t>for</w:t>
            </w:r>
            <w:r>
              <w:rPr>
                <w:bCs/>
                <w:spacing w:val="-10"/>
                <w:sz w:val="18"/>
              </w:rPr>
              <w:t xml:space="preserve"> </w:t>
            </w:r>
            <w:r>
              <w:rPr>
                <w:bCs/>
                <w:sz w:val="18"/>
              </w:rPr>
              <w:t>knowledge</w:t>
            </w:r>
            <w:r>
              <w:rPr>
                <w:bCs/>
                <w:spacing w:val="40"/>
                <w:sz w:val="18"/>
              </w:rPr>
              <w:t xml:space="preserve"> </w:t>
            </w:r>
            <w:r>
              <w:rPr>
                <w:bCs/>
                <w:spacing w:val="-2"/>
                <w:sz w:val="18"/>
              </w:rPr>
              <w:t>transfer</w:t>
            </w:r>
          </w:p>
        </w:tc>
        <w:tc>
          <w:tcPr>
            <w:tcW w:w="1766" w:type="dxa"/>
            <w:tcBorders/>
          </w:tcPr>
          <w:p>
            <w:pPr>
              <w:pStyle w:val="TableParagraph"/>
              <w:widowControl w:val="false"/>
              <w:spacing w:before="42" w:after="0"/>
              <w:ind w:left="400" w:hanging="0"/>
              <w:rPr>
                <w:bCs/>
                <w:sz w:val="18"/>
              </w:rPr>
            </w:pPr>
            <w:r>
              <w:rPr>
                <w:bCs/>
                <w:sz w:val="18"/>
              </w:rPr>
              <w:t>4</w:t>
            </w:r>
            <w:r>
              <w:rPr>
                <w:bCs/>
                <w:spacing w:val="-2"/>
                <w:sz w:val="18"/>
              </w:rPr>
              <w:t xml:space="preserve"> months</w:t>
            </w:r>
          </w:p>
        </w:tc>
        <w:tc>
          <w:tcPr>
            <w:tcW w:w="1765" w:type="dxa"/>
            <w:tcBorders/>
          </w:tcPr>
          <w:p>
            <w:pPr>
              <w:pStyle w:val="TableParagraph"/>
              <w:widowControl w:val="false"/>
              <w:spacing w:before="42" w:after="0"/>
              <w:ind w:left="400" w:hanging="0"/>
              <w:rPr>
                <w:bCs/>
                <w:sz w:val="18"/>
              </w:rPr>
            </w:pPr>
            <w:r>
              <w:rPr>
                <w:bCs/>
                <w:sz w:val="18"/>
              </w:rPr>
              <w:t>10k</w:t>
            </w:r>
          </w:p>
        </w:tc>
      </w:tr>
      <w:tr>
        <w:trPr>
          <w:trHeight w:val="504" w:hRule="atLeast"/>
        </w:trPr>
        <w:tc>
          <w:tcPr>
            <w:tcW w:w="1648" w:type="dxa"/>
            <w:tcBorders/>
          </w:tcPr>
          <w:p>
            <w:pPr>
              <w:pStyle w:val="TableParagraph"/>
              <w:widowControl w:val="false"/>
              <w:spacing w:before="42" w:after="0"/>
              <w:ind w:left="124" w:right="59" w:hanging="0"/>
              <w:jc w:val="center"/>
              <w:rPr>
                <w:bCs/>
                <w:sz w:val="18"/>
              </w:rPr>
            </w:pPr>
            <w:r>
              <w:rPr>
                <w:bCs/>
                <w:sz w:val="18"/>
              </w:rPr>
              <w:t>Computer</w:t>
            </w:r>
            <w:r>
              <w:rPr>
                <w:bCs/>
                <w:spacing w:val="-10"/>
                <w:sz w:val="18"/>
              </w:rPr>
              <w:t xml:space="preserve"> </w:t>
            </w:r>
            <w:r>
              <w:rPr>
                <w:bCs/>
                <w:spacing w:val="-2"/>
                <w:sz w:val="18"/>
              </w:rPr>
              <w:t>scientist</w:t>
            </w:r>
          </w:p>
        </w:tc>
        <w:tc>
          <w:tcPr>
            <w:tcW w:w="2215" w:type="dxa"/>
            <w:tcBorders/>
          </w:tcPr>
          <w:p>
            <w:pPr>
              <w:pStyle w:val="TableParagraph"/>
              <w:widowControl w:val="false"/>
              <w:spacing w:before="42" w:after="0"/>
              <w:ind w:left="65" w:right="336" w:firstLine="39"/>
              <w:rPr>
                <w:bCs/>
                <w:sz w:val="18"/>
              </w:rPr>
            </w:pPr>
            <w:r>
              <w:rPr>
                <w:bCs/>
                <w:sz w:val="18"/>
              </w:rPr>
              <w:t>Simulations,</w:t>
            </w:r>
            <w:r>
              <w:rPr>
                <w:bCs/>
                <w:spacing w:val="-10"/>
                <w:sz w:val="18"/>
              </w:rPr>
              <w:t xml:space="preserve"> </w:t>
            </w:r>
            <w:r>
              <w:rPr>
                <w:bCs/>
                <w:sz w:val="18"/>
              </w:rPr>
              <w:t>numerical</w:t>
            </w:r>
            <w:r>
              <w:rPr>
                <w:bCs/>
                <w:spacing w:val="40"/>
                <w:sz w:val="18"/>
              </w:rPr>
              <w:t xml:space="preserve"> </w:t>
            </w:r>
            <w:r>
              <w:rPr>
                <w:bCs/>
                <w:sz w:val="18"/>
              </w:rPr>
              <w:t>analysis,</w:t>
            </w:r>
            <w:r>
              <w:rPr>
                <w:bCs/>
                <w:spacing w:val="-3"/>
                <w:sz w:val="18"/>
              </w:rPr>
              <w:t xml:space="preserve"> </w:t>
            </w:r>
            <w:r>
              <w:rPr>
                <w:bCs/>
                <w:sz w:val="18"/>
              </w:rPr>
              <w:t>robustness</w:t>
            </w:r>
          </w:p>
        </w:tc>
        <w:tc>
          <w:tcPr>
            <w:tcW w:w="1766" w:type="dxa"/>
            <w:tcBorders/>
          </w:tcPr>
          <w:p>
            <w:pPr>
              <w:pStyle w:val="TableParagraph"/>
              <w:widowControl w:val="false"/>
              <w:spacing w:before="42" w:after="0"/>
              <w:ind w:left="400" w:hanging="0"/>
              <w:rPr>
                <w:bCs/>
                <w:sz w:val="18"/>
              </w:rPr>
            </w:pPr>
            <w:r>
              <w:rPr>
                <w:bCs/>
                <w:sz w:val="18"/>
              </w:rPr>
              <w:t>5</w:t>
            </w:r>
            <w:r>
              <w:rPr>
                <w:bCs/>
                <w:spacing w:val="-2"/>
                <w:sz w:val="18"/>
              </w:rPr>
              <w:t xml:space="preserve"> months</w:t>
            </w:r>
          </w:p>
        </w:tc>
        <w:tc>
          <w:tcPr>
            <w:tcW w:w="1765" w:type="dxa"/>
            <w:tcBorders/>
          </w:tcPr>
          <w:p>
            <w:pPr>
              <w:pStyle w:val="TableParagraph"/>
              <w:widowControl w:val="false"/>
              <w:spacing w:before="42" w:after="0"/>
              <w:ind w:left="400" w:hanging="0"/>
              <w:rPr>
                <w:bCs/>
                <w:sz w:val="18"/>
              </w:rPr>
            </w:pPr>
            <w:r>
              <w:rPr>
                <w:bCs/>
                <w:sz w:val="18"/>
              </w:rPr>
              <w:t>12k</w:t>
            </w:r>
          </w:p>
        </w:tc>
      </w:tr>
      <w:tr>
        <w:trPr>
          <w:trHeight w:val="503" w:hRule="atLeast"/>
        </w:trPr>
        <w:tc>
          <w:tcPr>
            <w:tcW w:w="1648" w:type="dxa"/>
            <w:tcBorders/>
          </w:tcPr>
          <w:p>
            <w:pPr>
              <w:pStyle w:val="TableParagraph"/>
              <w:widowControl w:val="false"/>
              <w:spacing w:before="41" w:after="0"/>
              <w:ind w:left="123" w:right="59" w:hanging="0"/>
              <w:jc w:val="center"/>
              <w:rPr>
                <w:bCs/>
                <w:sz w:val="18"/>
              </w:rPr>
            </w:pPr>
            <w:r>
              <w:rPr>
                <w:bCs/>
                <w:sz w:val="18"/>
              </w:rPr>
              <w:t>Data</w:t>
            </w:r>
            <w:r>
              <w:rPr>
                <w:bCs/>
                <w:spacing w:val="-6"/>
                <w:sz w:val="18"/>
              </w:rPr>
              <w:t xml:space="preserve"> </w:t>
            </w:r>
            <w:r>
              <w:rPr>
                <w:bCs/>
                <w:spacing w:val="-2"/>
                <w:sz w:val="18"/>
              </w:rPr>
              <w:t>analysis</w:t>
            </w:r>
          </w:p>
        </w:tc>
        <w:tc>
          <w:tcPr>
            <w:tcW w:w="2215" w:type="dxa"/>
            <w:tcBorders/>
          </w:tcPr>
          <w:p>
            <w:pPr>
              <w:pStyle w:val="TableParagraph"/>
              <w:widowControl w:val="false"/>
              <w:spacing w:before="41" w:after="0"/>
              <w:ind w:left="65" w:right="422" w:hanging="0"/>
              <w:rPr>
                <w:bCs/>
                <w:sz w:val="18"/>
              </w:rPr>
            </w:pPr>
            <w:r>
              <w:rPr>
                <w:bCs/>
                <w:sz w:val="18"/>
              </w:rPr>
              <w:t>Data</w:t>
            </w:r>
            <w:r>
              <w:rPr>
                <w:bCs/>
                <w:spacing w:val="-10"/>
                <w:sz w:val="18"/>
              </w:rPr>
              <w:t xml:space="preserve"> </w:t>
            </w:r>
            <w:r>
              <w:rPr>
                <w:bCs/>
                <w:sz w:val="18"/>
              </w:rPr>
              <w:t>analytics,</w:t>
            </w:r>
            <w:r>
              <w:rPr>
                <w:bCs/>
                <w:spacing w:val="-10"/>
                <w:sz w:val="18"/>
              </w:rPr>
              <w:t xml:space="preserve"> </w:t>
            </w:r>
            <w:r>
              <w:rPr>
                <w:bCs/>
                <w:sz w:val="18"/>
              </w:rPr>
              <w:t>pattern</w:t>
            </w:r>
            <w:r>
              <w:rPr>
                <w:bCs/>
                <w:spacing w:val="40"/>
                <w:sz w:val="18"/>
              </w:rPr>
              <w:t xml:space="preserve"> </w:t>
            </w:r>
            <w:r>
              <w:rPr>
                <w:bCs/>
                <w:sz w:val="18"/>
              </w:rPr>
              <w:t>detection,</w:t>
            </w:r>
            <w:r>
              <w:rPr>
                <w:bCs/>
                <w:spacing w:val="-3"/>
                <w:sz w:val="18"/>
              </w:rPr>
              <w:t xml:space="preserve"> </w:t>
            </w:r>
            <w:r>
              <w:rPr>
                <w:bCs/>
                <w:sz w:val="18"/>
              </w:rPr>
              <w:t>robustness</w:t>
            </w:r>
          </w:p>
        </w:tc>
        <w:tc>
          <w:tcPr>
            <w:tcW w:w="1766" w:type="dxa"/>
            <w:tcBorders/>
          </w:tcPr>
          <w:p>
            <w:pPr>
              <w:pStyle w:val="TableParagraph"/>
              <w:widowControl w:val="false"/>
              <w:spacing w:before="41" w:after="0"/>
              <w:ind w:left="400" w:hanging="0"/>
              <w:rPr>
                <w:bCs/>
                <w:sz w:val="18"/>
              </w:rPr>
            </w:pPr>
            <w:r>
              <w:rPr>
                <w:bCs/>
                <w:sz w:val="18"/>
              </w:rPr>
              <w:t>5</w:t>
            </w:r>
            <w:r>
              <w:rPr>
                <w:bCs/>
                <w:spacing w:val="-2"/>
                <w:sz w:val="18"/>
              </w:rPr>
              <w:t xml:space="preserve"> months</w:t>
            </w:r>
          </w:p>
        </w:tc>
        <w:tc>
          <w:tcPr>
            <w:tcW w:w="1765" w:type="dxa"/>
            <w:tcBorders/>
          </w:tcPr>
          <w:p>
            <w:pPr>
              <w:pStyle w:val="TableParagraph"/>
              <w:widowControl w:val="false"/>
              <w:spacing w:before="41" w:after="0"/>
              <w:ind w:left="400" w:hanging="0"/>
              <w:rPr>
                <w:bCs/>
                <w:sz w:val="18"/>
              </w:rPr>
            </w:pPr>
            <w:r>
              <w:rPr>
                <w:bCs/>
                <w:sz w:val="18"/>
              </w:rPr>
              <w:t>12k</w:t>
            </w:r>
          </w:p>
        </w:tc>
      </w:tr>
      <w:tr>
        <w:trPr>
          <w:trHeight w:val="503" w:hRule="atLeast"/>
        </w:trPr>
        <w:tc>
          <w:tcPr>
            <w:tcW w:w="1648" w:type="dxa"/>
            <w:tcBorders/>
          </w:tcPr>
          <w:p>
            <w:pPr>
              <w:pStyle w:val="TableParagraph"/>
              <w:widowControl w:val="false"/>
              <w:spacing w:before="41" w:after="0"/>
              <w:ind w:left="124" w:right="56" w:hanging="0"/>
              <w:jc w:val="center"/>
              <w:rPr>
                <w:bCs/>
                <w:sz w:val="18"/>
              </w:rPr>
            </w:pPr>
            <w:r>
              <w:rPr>
                <w:bCs/>
                <w:spacing w:val="-2"/>
                <w:sz w:val="18"/>
              </w:rPr>
              <w:t>Modeling</w:t>
            </w:r>
          </w:p>
        </w:tc>
        <w:tc>
          <w:tcPr>
            <w:tcW w:w="2215" w:type="dxa"/>
            <w:tcBorders/>
          </w:tcPr>
          <w:p>
            <w:pPr>
              <w:pStyle w:val="TableParagraph"/>
              <w:widowControl w:val="false"/>
              <w:spacing w:before="41" w:after="0"/>
              <w:rPr>
                <w:bCs/>
                <w:sz w:val="18"/>
              </w:rPr>
            </w:pPr>
            <w:r>
              <w:rPr>
                <w:bCs/>
                <w:sz w:val="18"/>
              </w:rPr>
              <w:t>Server</w:t>
            </w:r>
            <w:r>
              <w:rPr>
                <w:bCs/>
                <w:spacing w:val="-10"/>
                <w:sz w:val="18"/>
              </w:rPr>
              <w:t xml:space="preserve"> </w:t>
            </w:r>
            <w:r>
              <w:rPr>
                <w:bCs/>
                <w:sz w:val="18"/>
              </w:rPr>
              <w:t>setup,</w:t>
            </w:r>
            <w:r>
              <w:rPr>
                <w:bCs/>
                <w:spacing w:val="-10"/>
                <w:sz w:val="18"/>
              </w:rPr>
              <w:t xml:space="preserve"> </w:t>
            </w:r>
            <w:r>
              <w:rPr>
                <w:bCs/>
                <w:sz w:val="18"/>
              </w:rPr>
              <w:t>parallel</w:t>
            </w:r>
            <w:r>
              <w:rPr>
                <w:bCs/>
                <w:spacing w:val="40"/>
                <w:sz w:val="18"/>
              </w:rPr>
              <w:t xml:space="preserve"> </w:t>
            </w:r>
            <w:r>
              <w:rPr>
                <w:bCs/>
                <w:spacing w:val="-2"/>
                <w:sz w:val="18"/>
              </w:rPr>
              <w:t>computing</w:t>
            </w:r>
          </w:p>
        </w:tc>
        <w:tc>
          <w:tcPr>
            <w:tcW w:w="1766" w:type="dxa"/>
            <w:tcBorders/>
          </w:tcPr>
          <w:p>
            <w:pPr>
              <w:pStyle w:val="TableParagraph"/>
              <w:widowControl w:val="false"/>
              <w:spacing w:before="41" w:after="0"/>
              <w:ind w:left="400" w:hanging="0"/>
              <w:rPr>
                <w:bCs/>
                <w:sz w:val="18"/>
              </w:rPr>
            </w:pPr>
            <w:r>
              <w:rPr>
                <w:bCs/>
                <w:sz w:val="18"/>
              </w:rPr>
              <w:t>2</w:t>
            </w:r>
            <w:r>
              <w:rPr>
                <w:bCs/>
                <w:spacing w:val="-2"/>
                <w:sz w:val="18"/>
              </w:rPr>
              <w:t xml:space="preserve"> months</w:t>
            </w:r>
          </w:p>
        </w:tc>
        <w:tc>
          <w:tcPr>
            <w:tcW w:w="1765" w:type="dxa"/>
            <w:tcBorders/>
          </w:tcPr>
          <w:p>
            <w:pPr>
              <w:pStyle w:val="TableParagraph"/>
              <w:widowControl w:val="false"/>
              <w:spacing w:before="41" w:after="0"/>
              <w:ind w:left="400" w:hanging="0"/>
              <w:rPr>
                <w:bCs/>
                <w:sz w:val="18"/>
              </w:rPr>
            </w:pPr>
            <w:r>
              <w:rPr>
                <w:bCs/>
                <w:sz w:val="18"/>
              </w:rPr>
              <w:t>1k</w:t>
            </w:r>
          </w:p>
        </w:tc>
      </w:tr>
      <w:tr>
        <w:trPr>
          <w:trHeight w:val="275" w:hRule="atLeast"/>
        </w:trPr>
        <w:tc>
          <w:tcPr>
            <w:tcW w:w="1648" w:type="dxa"/>
            <w:tcBorders/>
          </w:tcPr>
          <w:p>
            <w:pPr>
              <w:pStyle w:val="TableParagraph"/>
              <w:widowControl w:val="false"/>
              <w:spacing w:lineRule="exact" w:line="214" w:before="41" w:after="0"/>
              <w:ind w:left="124" w:right="59" w:hanging="0"/>
              <w:jc w:val="center"/>
              <w:rPr>
                <w:b/>
                <w:b/>
                <w:sz w:val="20"/>
              </w:rPr>
            </w:pPr>
            <w:r>
              <w:rPr>
                <w:b/>
                <w:spacing w:val="-2"/>
                <w:sz w:val="20"/>
              </w:rPr>
              <w:t>TOTAL</w:t>
            </w:r>
          </w:p>
        </w:tc>
        <w:tc>
          <w:tcPr>
            <w:tcW w:w="2215" w:type="dxa"/>
            <w:tcBorders/>
          </w:tcPr>
          <w:p>
            <w:pPr>
              <w:pStyle w:val="TableParagraph"/>
              <w:widowControl w:val="false"/>
              <w:spacing w:before="0" w:after="0"/>
              <w:ind w:left="0" w:hanging="0"/>
              <w:rPr>
                <w:rFonts w:ascii="Times New Roman" w:hAnsi="Times New Roman"/>
                <w:b/>
                <w:b/>
                <w:sz w:val="20"/>
              </w:rPr>
            </w:pPr>
            <w:r>
              <w:rPr>
                <w:rFonts w:ascii="Times New Roman" w:hAnsi="Times New Roman"/>
                <w:b/>
                <w:sz w:val="20"/>
              </w:rPr>
            </w:r>
          </w:p>
        </w:tc>
        <w:tc>
          <w:tcPr>
            <w:tcW w:w="1766" w:type="dxa"/>
            <w:tcBorders/>
          </w:tcPr>
          <w:p>
            <w:pPr>
              <w:pStyle w:val="TableParagraph"/>
              <w:widowControl w:val="false"/>
              <w:spacing w:lineRule="exact" w:line="214" w:before="41" w:after="0"/>
              <w:ind w:left="474" w:hanging="0"/>
              <w:rPr>
                <w:b/>
                <w:b/>
                <w:sz w:val="20"/>
              </w:rPr>
            </w:pPr>
            <w:r>
              <w:rPr>
                <w:b/>
                <w:sz w:val="20"/>
              </w:rPr>
              <w:t>1</w:t>
            </w:r>
            <w:r>
              <w:rPr>
                <w:b/>
                <w:spacing w:val="-3"/>
                <w:sz w:val="20"/>
              </w:rPr>
              <w:t xml:space="preserve"> </w:t>
            </w:r>
            <w:r>
              <w:rPr>
                <w:b/>
                <w:spacing w:val="-4"/>
                <w:sz w:val="20"/>
              </w:rPr>
              <w:t>year</w:t>
            </w:r>
          </w:p>
        </w:tc>
        <w:tc>
          <w:tcPr>
            <w:tcW w:w="1765" w:type="dxa"/>
            <w:tcBorders/>
          </w:tcPr>
          <w:p>
            <w:pPr>
              <w:pStyle w:val="TableParagraph"/>
              <w:widowControl w:val="false"/>
              <w:spacing w:lineRule="exact" w:line="214" w:before="41" w:after="0"/>
              <w:ind w:left="474" w:hanging="0"/>
              <w:rPr>
                <w:b/>
                <w:b/>
                <w:sz w:val="20"/>
              </w:rPr>
            </w:pPr>
            <w:bookmarkStart w:id="8" w:name="_Hlk139012459"/>
            <w:r>
              <w:rPr>
                <w:b/>
                <w:sz w:val="20"/>
              </w:rPr>
              <w:t>53k</w:t>
            </w:r>
            <w:bookmarkEnd w:id="8"/>
          </w:p>
        </w:tc>
      </w:tr>
    </w:tbl>
    <w:p>
      <w:pPr>
        <w:pStyle w:val="TextBody"/>
        <w:rPr>
          <w:b/>
          <w:b/>
          <w:sz w:val="20"/>
        </w:rPr>
      </w:pPr>
      <w:r>
        <w:rPr>
          <w:b/>
          <w:sz w:val="20"/>
        </w:rPr>
      </w:r>
    </w:p>
    <w:p>
      <w:pPr>
        <w:pStyle w:val="TextBody"/>
        <w:rPr>
          <w:sz w:val="20"/>
        </w:rPr>
      </w:pPr>
      <w:r>
        <w:rPr>
          <w:sz w:val="20"/>
        </w:rPr>
      </w:r>
    </w:p>
    <w:p>
      <w:pPr>
        <w:pStyle w:val="TextBody"/>
        <w:spacing w:before="10" w:after="0"/>
        <w:rPr>
          <w:sz w:val="21"/>
        </w:rPr>
      </w:pPr>
      <w:r>
        <w:rPr>
          <w:sz w:val="21"/>
        </w:rPr>
      </w:r>
    </w:p>
    <w:p>
      <w:pPr>
        <w:pStyle w:val="Normal"/>
        <w:spacing w:before="36" w:after="0"/>
        <w:ind w:left="172" w:hanging="0"/>
        <w:rPr>
          <w:rFonts w:ascii="Calibri" w:hAnsi="Calibri"/>
          <w:b/>
          <w:b/>
          <w:sz w:val="32"/>
        </w:rPr>
      </w:pPr>
      <w:r>
        <w:rPr>
          <w:rFonts w:ascii="Calibri" w:hAnsi="Calibri"/>
          <w:b/>
          <w:color w:val="5882AF"/>
          <w:spacing w:val="-2"/>
          <w:sz w:val="32"/>
        </w:rPr>
        <w:t>Timeline</w:t>
      </w:r>
    </w:p>
    <w:p>
      <w:pPr>
        <w:pStyle w:val="Normal"/>
        <w:tabs>
          <w:tab w:val="clear" w:pos="720"/>
          <w:tab w:val="left" w:pos="2957" w:leader="none"/>
          <w:tab w:val="left" w:pos="4987" w:leader="none"/>
          <w:tab w:val="left" w:pos="7547" w:leader="none"/>
        </w:tabs>
        <w:spacing w:lineRule="exact" w:line="277" w:before="205" w:after="0"/>
        <w:ind w:left="104" w:hanging="0"/>
        <w:rPr>
          <w:b/>
          <w:b/>
          <w:sz w:val="18"/>
        </w:rPr>
      </w:pPr>
      <w:r>
        <w:rPr>
          <w:b/>
          <w:i/>
          <w:spacing w:val="-2"/>
          <w:sz w:val="18"/>
        </w:rPr>
        <w:t>Objective</w:t>
      </w:r>
      <w:r>
        <w:rPr>
          <w:b/>
          <w:spacing w:val="-2"/>
          <w:sz w:val="18"/>
        </w:rPr>
        <w:t>/activity</w:t>
      </w:r>
      <w:r>
        <w:rPr>
          <w:b/>
          <w:sz w:val="18"/>
        </w:rPr>
        <w:tab/>
      </w:r>
      <w:r>
        <w:rPr>
          <w:rFonts w:ascii="Times New Roman" w:hAnsi="Times New Roman"/>
          <w:position w:val="11"/>
          <w:sz w:val="18"/>
          <w:u w:val="single"/>
        </w:rPr>
        <w:tab/>
      </w:r>
      <w:r>
        <w:rPr>
          <w:b/>
          <w:spacing w:val="-2"/>
          <w:position w:val="11"/>
          <w:sz w:val="18"/>
          <w:u w:val="single"/>
        </w:rPr>
        <w:t>Month</w:t>
      </w:r>
      <w:r>
        <w:rPr>
          <w:b/>
          <w:position w:val="11"/>
          <w:sz w:val="18"/>
          <w:u w:val="single"/>
        </w:rPr>
        <w:tab/>
      </w:r>
    </w:p>
    <w:p>
      <w:pPr>
        <w:pStyle w:val="Normal"/>
        <w:tabs>
          <w:tab w:val="clear" w:pos="720"/>
          <w:tab w:val="left" w:pos="3429" w:leader="none"/>
          <w:tab w:val="left" w:pos="3745" w:leader="none"/>
          <w:tab w:val="left" w:pos="4089" w:leader="none"/>
          <w:tab w:val="left" w:pos="4433" w:leader="none"/>
          <w:tab w:val="left" w:pos="4777" w:leader="none"/>
          <w:tab w:val="left" w:pos="5119" w:leader="none"/>
          <w:tab w:val="left" w:pos="5463" w:leader="none"/>
          <w:tab w:val="left" w:pos="5815" w:leader="none"/>
          <w:tab w:val="left" w:pos="6159" w:leader="none"/>
          <w:tab w:val="left" w:pos="6639" w:leader="none"/>
          <w:tab w:val="left" w:pos="7171" w:leader="none"/>
        </w:tabs>
        <w:spacing w:lineRule="exact" w:line="167"/>
        <w:ind w:left="3088" w:hanging="0"/>
        <w:rPr>
          <w:b/>
          <w:b/>
          <w:sz w:val="18"/>
        </w:rPr>
      </w:pPr>
      <w:r>
        <w:rPr>
          <w:b/>
          <w:spacing w:val="-10"/>
          <w:sz w:val="18"/>
        </w:rPr>
        <w:t>1</w:t>
      </w:r>
      <w:r>
        <w:rPr>
          <w:b/>
          <w:sz w:val="18"/>
        </w:rPr>
        <w:tab/>
      </w:r>
      <w:r>
        <w:rPr>
          <w:b/>
          <w:spacing w:val="-10"/>
          <w:sz w:val="18"/>
        </w:rPr>
        <w:t>2</w:t>
      </w:r>
      <w:r>
        <w:rPr>
          <w:b/>
          <w:sz w:val="18"/>
        </w:rPr>
        <w:tab/>
      </w:r>
      <w:r>
        <w:rPr>
          <w:b/>
          <w:spacing w:val="-10"/>
          <w:sz w:val="18"/>
        </w:rPr>
        <w:t>3</w:t>
      </w:r>
      <w:r>
        <w:rPr>
          <w:b/>
          <w:sz w:val="18"/>
        </w:rPr>
        <w:tab/>
      </w:r>
      <w:r>
        <w:rPr>
          <w:b/>
          <w:spacing w:val="-10"/>
          <w:sz w:val="18"/>
        </w:rPr>
        <w:t>4</w:t>
      </w:r>
      <w:r>
        <w:rPr>
          <w:b/>
          <w:sz w:val="18"/>
        </w:rPr>
        <w:tab/>
      </w:r>
      <w:r>
        <w:rPr>
          <w:b/>
          <w:spacing w:val="-10"/>
          <w:sz w:val="18"/>
        </w:rPr>
        <w:t>5</w:t>
      </w:r>
      <w:r>
        <w:rPr>
          <w:b/>
          <w:sz w:val="18"/>
        </w:rPr>
        <w:tab/>
      </w:r>
      <w:r>
        <w:rPr>
          <w:b/>
          <w:spacing w:val="-10"/>
          <w:sz w:val="18"/>
        </w:rPr>
        <w:t>6</w:t>
      </w:r>
      <w:r>
        <w:rPr>
          <w:b/>
          <w:sz w:val="18"/>
        </w:rPr>
        <w:tab/>
      </w:r>
      <w:r>
        <w:rPr>
          <w:b/>
          <w:spacing w:val="-10"/>
          <w:sz w:val="18"/>
        </w:rPr>
        <w:t>7</w:t>
      </w:r>
      <w:r>
        <w:rPr>
          <w:b/>
          <w:sz w:val="18"/>
        </w:rPr>
        <w:tab/>
      </w:r>
      <w:r>
        <w:rPr>
          <w:b/>
          <w:spacing w:val="-10"/>
          <w:sz w:val="18"/>
        </w:rPr>
        <w:t>8</w:t>
      </w:r>
      <w:r>
        <w:rPr>
          <w:b/>
          <w:sz w:val="18"/>
        </w:rPr>
        <w:tab/>
      </w:r>
      <w:r>
        <w:rPr>
          <w:b/>
          <w:spacing w:val="-10"/>
          <w:sz w:val="18"/>
        </w:rPr>
        <w:t>9</w:t>
      </w:r>
      <w:r>
        <w:rPr>
          <w:b/>
          <w:sz w:val="18"/>
        </w:rPr>
        <w:tab/>
      </w:r>
      <w:r>
        <w:rPr>
          <w:b/>
          <w:spacing w:val="-5"/>
          <w:sz w:val="18"/>
        </w:rPr>
        <w:t>10</w:t>
      </w:r>
      <w:r>
        <w:rPr>
          <w:b/>
          <w:sz w:val="18"/>
        </w:rPr>
        <w:tab/>
      </w:r>
      <w:r>
        <w:rPr>
          <w:b/>
          <w:spacing w:val="-5"/>
          <w:sz w:val="18"/>
        </w:rPr>
        <w:t>11</w:t>
      </w:r>
      <w:r>
        <w:rPr>
          <w:b/>
          <w:sz w:val="18"/>
        </w:rPr>
        <w:tab/>
      </w:r>
      <w:r>
        <w:rPr>
          <w:b/>
          <w:spacing w:val="-5"/>
          <w:sz w:val="18"/>
        </w:rPr>
        <w:t>12</w:t>
      </w:r>
    </w:p>
    <w:p>
      <w:pPr>
        <w:pStyle w:val="Normal"/>
        <w:spacing w:lineRule="auto" w:line="259" w:before="9" w:after="0"/>
        <w:ind w:left="104" w:right="7493" w:hanging="0"/>
        <w:rPr>
          <w:sz w:val="18"/>
        </w:rPr>
      </w:pPr>
      <w:r>
        <mc:AlternateContent>
          <mc:Choice Requires="wpg">
            <w:drawing>
              <wp:anchor behindDoc="0" distT="0" distB="0" distL="0" distR="0" simplePos="0" locked="0" layoutInCell="0" allowOverlap="1" relativeHeight="4" wp14:anchorId="62CBB92A">
                <wp:simplePos x="0" y="0"/>
                <wp:positionH relativeFrom="page">
                  <wp:posOffset>2513330</wp:posOffset>
                </wp:positionH>
                <wp:positionV relativeFrom="paragraph">
                  <wp:posOffset>635</wp:posOffset>
                </wp:positionV>
                <wp:extent cx="2914015" cy="1152525"/>
                <wp:effectExtent l="0" t="0" r="0" b="0"/>
                <wp:wrapNone/>
                <wp:docPr id="3" name="Group 3"/>
                <a:graphic xmlns:a="http://schemas.openxmlformats.org/drawingml/2006/main">
                  <a:graphicData uri="http://schemas.microsoft.com/office/word/2010/wordprocessingGroup">
                    <wpg:wgp>
                      <wpg:cNvGrpSpPr/>
                      <wpg:grpSpPr>
                        <a:xfrm>
                          <a:off x="0" y="0"/>
                          <a:ext cx="2913840" cy="1152360"/>
                          <a:chOff x="0" y="0"/>
                          <a:chExt cx="2913840" cy="1152360"/>
                        </a:xfrm>
                      </wpg:grpSpPr>
                      <wps:wsp>
                        <wps:cNvSpPr/>
                        <wps:spPr>
                          <a:xfrm>
                            <a:off x="0" y="0"/>
                            <a:ext cx="423000" cy="143640"/>
                          </a:xfrm>
                          <a:custGeom>
                            <a:avLst/>
                            <a:gdLst/>
                            <a:ahLst/>
                            <a:rect l="l" t="t" r="r" b="b"/>
                            <a:pathLst>
                              <a:path w="423545" h="144145">
                                <a:moveTo>
                                  <a:pt x="229235" y="0"/>
                                </a:moveTo>
                                <a:lnTo>
                                  <a:pt x="0" y="0"/>
                                </a:lnTo>
                                <a:lnTo>
                                  <a:pt x="0" y="144132"/>
                                </a:lnTo>
                                <a:lnTo>
                                  <a:pt x="229235" y="144132"/>
                                </a:lnTo>
                                <a:lnTo>
                                  <a:pt x="229235" y="0"/>
                                </a:lnTo>
                                <a:close/>
                              </a:path>
                              <a:path w="423545" h="144145">
                                <a:moveTo>
                                  <a:pt x="423545" y="0"/>
                                </a:moveTo>
                                <a:lnTo>
                                  <a:pt x="229870" y="0"/>
                                </a:lnTo>
                                <a:lnTo>
                                  <a:pt x="229870" y="144132"/>
                                </a:lnTo>
                                <a:lnTo>
                                  <a:pt x="423545" y="144132"/>
                                </a:lnTo>
                                <a:lnTo>
                                  <a:pt x="423545" y="0"/>
                                </a:lnTo>
                                <a:close/>
                              </a:path>
                            </a:pathLst>
                          </a:custGeom>
                          <a:solidFill>
                            <a:srgbClr val="d89493"/>
                          </a:solidFill>
                          <a:ln w="0">
                            <a:noFill/>
                          </a:ln>
                        </wps:spPr>
                        <wps:style>
                          <a:lnRef idx="0"/>
                          <a:fillRef idx="0"/>
                          <a:effectRef idx="0"/>
                          <a:fontRef idx="minor"/>
                        </wps:style>
                        <wps:bodyPr/>
                      </wps:wsp>
                      <wps:wsp>
                        <wps:cNvSpPr/>
                        <wps:spPr>
                          <a:xfrm>
                            <a:off x="230040" y="144720"/>
                            <a:ext cx="630000" cy="142200"/>
                          </a:xfrm>
                          <a:custGeom>
                            <a:avLst/>
                            <a:gdLst/>
                            <a:ahLst/>
                            <a:rect l="l" t="t" r="r" b="b"/>
                            <a:pathLst>
                              <a:path w="630555" h="142875">
                                <a:moveTo>
                                  <a:pt x="193675" y="0"/>
                                </a:moveTo>
                                <a:lnTo>
                                  <a:pt x="0" y="0"/>
                                </a:lnTo>
                                <a:lnTo>
                                  <a:pt x="0" y="142875"/>
                                </a:lnTo>
                                <a:lnTo>
                                  <a:pt x="193675" y="142875"/>
                                </a:lnTo>
                                <a:lnTo>
                                  <a:pt x="193675" y="0"/>
                                </a:lnTo>
                                <a:close/>
                              </a:path>
                              <a:path w="630555" h="142875">
                                <a:moveTo>
                                  <a:pt x="412115" y="0"/>
                                </a:moveTo>
                                <a:lnTo>
                                  <a:pt x="194310" y="0"/>
                                </a:lnTo>
                                <a:lnTo>
                                  <a:pt x="194310" y="142875"/>
                                </a:lnTo>
                                <a:lnTo>
                                  <a:pt x="412115" y="142875"/>
                                </a:lnTo>
                                <a:lnTo>
                                  <a:pt x="412115" y="0"/>
                                </a:lnTo>
                                <a:close/>
                              </a:path>
                              <a:path w="630555" h="142875">
                                <a:moveTo>
                                  <a:pt x="630555" y="0"/>
                                </a:moveTo>
                                <a:lnTo>
                                  <a:pt x="412750" y="0"/>
                                </a:lnTo>
                                <a:lnTo>
                                  <a:pt x="412750" y="142875"/>
                                </a:lnTo>
                                <a:lnTo>
                                  <a:pt x="630555" y="142875"/>
                                </a:lnTo>
                                <a:lnTo>
                                  <a:pt x="630555" y="0"/>
                                </a:lnTo>
                                <a:close/>
                              </a:path>
                            </a:pathLst>
                          </a:custGeom>
                          <a:solidFill>
                            <a:srgbClr val="f9be8e"/>
                          </a:solidFill>
                          <a:ln w="0">
                            <a:noFill/>
                          </a:ln>
                        </wps:spPr>
                        <wps:style>
                          <a:lnRef idx="0"/>
                          <a:fillRef idx="0"/>
                          <a:effectRef idx="0"/>
                          <a:fontRef idx="minor"/>
                        </wps:style>
                        <wps:bodyPr/>
                      </wps:wsp>
                      <wps:wsp>
                        <wps:cNvSpPr/>
                        <wps:spPr>
                          <a:xfrm>
                            <a:off x="230040" y="288360"/>
                            <a:ext cx="630000" cy="286920"/>
                          </a:xfrm>
                          <a:custGeom>
                            <a:avLst/>
                            <a:gdLst/>
                            <a:ahLst/>
                            <a:rect l="l" t="t" r="r" b="b"/>
                            <a:pathLst>
                              <a:path w="630555" h="287655">
                                <a:moveTo>
                                  <a:pt x="193675" y="0"/>
                                </a:moveTo>
                                <a:lnTo>
                                  <a:pt x="0" y="0"/>
                                </a:lnTo>
                                <a:lnTo>
                                  <a:pt x="0" y="144145"/>
                                </a:lnTo>
                                <a:lnTo>
                                  <a:pt x="193675" y="144145"/>
                                </a:lnTo>
                                <a:lnTo>
                                  <a:pt x="193675" y="0"/>
                                </a:lnTo>
                                <a:close/>
                              </a:path>
                              <a:path w="630555" h="287655">
                                <a:moveTo>
                                  <a:pt x="412115" y="144780"/>
                                </a:moveTo>
                                <a:lnTo>
                                  <a:pt x="194310" y="144780"/>
                                </a:lnTo>
                                <a:lnTo>
                                  <a:pt x="194310" y="287655"/>
                                </a:lnTo>
                                <a:lnTo>
                                  <a:pt x="412115" y="287655"/>
                                </a:lnTo>
                                <a:lnTo>
                                  <a:pt x="412115" y="144780"/>
                                </a:lnTo>
                                <a:close/>
                              </a:path>
                              <a:path w="630555" h="287655">
                                <a:moveTo>
                                  <a:pt x="412115" y="0"/>
                                </a:moveTo>
                                <a:lnTo>
                                  <a:pt x="194310" y="0"/>
                                </a:lnTo>
                                <a:lnTo>
                                  <a:pt x="194310" y="144145"/>
                                </a:lnTo>
                                <a:lnTo>
                                  <a:pt x="412115" y="144145"/>
                                </a:lnTo>
                                <a:lnTo>
                                  <a:pt x="412115" y="0"/>
                                </a:lnTo>
                                <a:close/>
                              </a:path>
                              <a:path w="630555" h="287655">
                                <a:moveTo>
                                  <a:pt x="630555" y="144780"/>
                                </a:moveTo>
                                <a:lnTo>
                                  <a:pt x="412750" y="144780"/>
                                </a:lnTo>
                                <a:lnTo>
                                  <a:pt x="412750" y="287655"/>
                                </a:lnTo>
                                <a:lnTo>
                                  <a:pt x="630555" y="287655"/>
                                </a:lnTo>
                                <a:lnTo>
                                  <a:pt x="630555" y="144780"/>
                                </a:lnTo>
                                <a:close/>
                              </a:path>
                            </a:pathLst>
                          </a:custGeom>
                          <a:solidFill>
                            <a:srgbClr val="fce8d8"/>
                          </a:solidFill>
                          <a:ln w="0">
                            <a:noFill/>
                          </a:ln>
                        </wps:spPr>
                        <wps:style>
                          <a:lnRef idx="0"/>
                          <a:fillRef idx="0"/>
                          <a:effectRef idx="0"/>
                          <a:fontRef idx="minor"/>
                        </wps:style>
                        <wps:bodyPr/>
                      </wps:wsp>
                      <wps:wsp>
                        <wps:cNvSpPr/>
                        <wps:spPr>
                          <a:xfrm>
                            <a:off x="861120" y="577080"/>
                            <a:ext cx="652320" cy="143640"/>
                          </a:xfrm>
                          <a:custGeom>
                            <a:avLst/>
                            <a:gdLst/>
                            <a:ahLst/>
                            <a:rect l="l" t="t" r="r" b="b"/>
                            <a:pathLst>
                              <a:path w="652145" h="144145">
                                <a:moveTo>
                                  <a:pt x="217792" y="0"/>
                                </a:moveTo>
                                <a:lnTo>
                                  <a:pt x="0" y="0"/>
                                </a:lnTo>
                                <a:lnTo>
                                  <a:pt x="0" y="144145"/>
                                </a:lnTo>
                                <a:lnTo>
                                  <a:pt x="217792" y="144145"/>
                                </a:lnTo>
                                <a:lnTo>
                                  <a:pt x="217792" y="0"/>
                                </a:lnTo>
                                <a:close/>
                              </a:path>
                              <a:path w="652145" h="144145">
                                <a:moveTo>
                                  <a:pt x="434975" y="0"/>
                                </a:moveTo>
                                <a:lnTo>
                                  <a:pt x="218440" y="0"/>
                                </a:lnTo>
                                <a:lnTo>
                                  <a:pt x="218440" y="144145"/>
                                </a:lnTo>
                                <a:lnTo>
                                  <a:pt x="434975" y="144145"/>
                                </a:lnTo>
                                <a:lnTo>
                                  <a:pt x="434975" y="0"/>
                                </a:lnTo>
                                <a:close/>
                              </a:path>
                              <a:path w="652145" h="144145">
                                <a:moveTo>
                                  <a:pt x="652145" y="0"/>
                                </a:moveTo>
                                <a:lnTo>
                                  <a:pt x="435610" y="0"/>
                                </a:lnTo>
                                <a:lnTo>
                                  <a:pt x="435610" y="144145"/>
                                </a:lnTo>
                                <a:lnTo>
                                  <a:pt x="652145" y="144145"/>
                                </a:lnTo>
                                <a:lnTo>
                                  <a:pt x="652145" y="0"/>
                                </a:lnTo>
                                <a:close/>
                              </a:path>
                            </a:pathLst>
                          </a:custGeom>
                          <a:solidFill>
                            <a:srgbClr val="91ccdb"/>
                          </a:solidFill>
                          <a:ln w="0">
                            <a:noFill/>
                          </a:ln>
                        </wps:spPr>
                        <wps:style>
                          <a:lnRef idx="0"/>
                          <a:fillRef idx="0"/>
                          <a:effectRef idx="0"/>
                          <a:fontRef idx="minor"/>
                        </wps:style>
                        <wps:bodyPr/>
                      </wps:wsp>
                      <wps:wsp>
                        <wps:cNvSpPr/>
                        <wps:spPr>
                          <a:xfrm>
                            <a:off x="861120" y="722160"/>
                            <a:ext cx="652320" cy="286920"/>
                          </a:xfrm>
                          <a:custGeom>
                            <a:avLst/>
                            <a:gdLst/>
                            <a:ahLst/>
                            <a:rect l="l" t="t" r="r" b="b"/>
                            <a:pathLst>
                              <a:path w="652145" h="287655">
                                <a:moveTo>
                                  <a:pt x="217792" y="0"/>
                                </a:moveTo>
                                <a:lnTo>
                                  <a:pt x="0" y="0"/>
                                </a:lnTo>
                                <a:lnTo>
                                  <a:pt x="0" y="142875"/>
                                </a:lnTo>
                                <a:lnTo>
                                  <a:pt x="217792" y="142875"/>
                                </a:lnTo>
                                <a:lnTo>
                                  <a:pt x="217792" y="0"/>
                                </a:lnTo>
                                <a:close/>
                              </a:path>
                              <a:path w="652145" h="287655">
                                <a:moveTo>
                                  <a:pt x="434975" y="143522"/>
                                </a:moveTo>
                                <a:lnTo>
                                  <a:pt x="218440" y="143522"/>
                                </a:lnTo>
                                <a:lnTo>
                                  <a:pt x="218440" y="287655"/>
                                </a:lnTo>
                                <a:lnTo>
                                  <a:pt x="434975" y="287655"/>
                                </a:lnTo>
                                <a:lnTo>
                                  <a:pt x="434975" y="143522"/>
                                </a:lnTo>
                                <a:close/>
                              </a:path>
                              <a:path w="652145" h="287655">
                                <a:moveTo>
                                  <a:pt x="652145" y="143522"/>
                                </a:moveTo>
                                <a:lnTo>
                                  <a:pt x="435610" y="143522"/>
                                </a:lnTo>
                                <a:lnTo>
                                  <a:pt x="435610" y="287655"/>
                                </a:lnTo>
                                <a:lnTo>
                                  <a:pt x="652145" y="287655"/>
                                </a:lnTo>
                                <a:lnTo>
                                  <a:pt x="652145" y="143522"/>
                                </a:lnTo>
                                <a:close/>
                              </a:path>
                            </a:pathLst>
                          </a:custGeom>
                          <a:solidFill>
                            <a:srgbClr val="dae4f0"/>
                          </a:solidFill>
                          <a:ln w="0">
                            <a:noFill/>
                          </a:ln>
                        </wps:spPr>
                        <wps:style>
                          <a:lnRef idx="0"/>
                          <a:fillRef idx="0"/>
                          <a:effectRef idx="0"/>
                          <a:fontRef idx="minor"/>
                        </wps:style>
                        <wps:bodyPr/>
                      </wps:wsp>
                      <wps:wsp>
                        <wps:cNvSpPr/>
                        <wps:spPr>
                          <a:xfrm>
                            <a:off x="1296720" y="1010160"/>
                            <a:ext cx="1617480" cy="142200"/>
                          </a:xfrm>
                          <a:custGeom>
                            <a:avLst/>
                            <a:gdLst/>
                            <a:ahLst/>
                            <a:rect l="l" t="t" r="r" b="b"/>
                            <a:pathLst>
                              <a:path w="1617345" h="142875">
                                <a:moveTo>
                                  <a:pt x="216535" y="0"/>
                                </a:moveTo>
                                <a:lnTo>
                                  <a:pt x="0" y="0"/>
                                </a:lnTo>
                                <a:lnTo>
                                  <a:pt x="0" y="142875"/>
                                </a:lnTo>
                                <a:lnTo>
                                  <a:pt x="216535" y="142875"/>
                                </a:lnTo>
                                <a:lnTo>
                                  <a:pt x="216535" y="0"/>
                                </a:lnTo>
                                <a:close/>
                              </a:path>
                              <a:path w="1617345" h="142875">
                                <a:moveTo>
                                  <a:pt x="434975" y="0"/>
                                </a:moveTo>
                                <a:lnTo>
                                  <a:pt x="217170" y="0"/>
                                </a:lnTo>
                                <a:lnTo>
                                  <a:pt x="217170" y="142875"/>
                                </a:lnTo>
                                <a:lnTo>
                                  <a:pt x="434975" y="142875"/>
                                </a:lnTo>
                                <a:lnTo>
                                  <a:pt x="434975" y="0"/>
                                </a:lnTo>
                                <a:close/>
                              </a:path>
                              <a:path w="1617345" h="142875">
                                <a:moveTo>
                                  <a:pt x="664845" y="0"/>
                                </a:moveTo>
                                <a:lnTo>
                                  <a:pt x="435610" y="0"/>
                                </a:lnTo>
                                <a:lnTo>
                                  <a:pt x="435610" y="142875"/>
                                </a:lnTo>
                                <a:lnTo>
                                  <a:pt x="664845" y="142875"/>
                                </a:lnTo>
                                <a:lnTo>
                                  <a:pt x="664845" y="0"/>
                                </a:lnTo>
                                <a:close/>
                              </a:path>
                              <a:path w="1617345" h="142875">
                                <a:moveTo>
                                  <a:pt x="940422" y="0"/>
                                </a:moveTo>
                                <a:lnTo>
                                  <a:pt x="665480" y="0"/>
                                </a:lnTo>
                                <a:lnTo>
                                  <a:pt x="665480" y="142875"/>
                                </a:lnTo>
                                <a:lnTo>
                                  <a:pt x="940422" y="142875"/>
                                </a:lnTo>
                                <a:lnTo>
                                  <a:pt x="940422" y="0"/>
                                </a:lnTo>
                                <a:close/>
                              </a:path>
                              <a:path w="1617345" h="142875">
                                <a:moveTo>
                                  <a:pt x="1273175" y="0"/>
                                </a:moveTo>
                                <a:lnTo>
                                  <a:pt x="941070" y="0"/>
                                </a:lnTo>
                                <a:lnTo>
                                  <a:pt x="941070" y="142875"/>
                                </a:lnTo>
                                <a:lnTo>
                                  <a:pt x="1273175" y="142875"/>
                                </a:lnTo>
                                <a:lnTo>
                                  <a:pt x="1273175" y="0"/>
                                </a:lnTo>
                                <a:close/>
                              </a:path>
                              <a:path w="1617345" h="142875">
                                <a:moveTo>
                                  <a:pt x="1617345" y="0"/>
                                </a:moveTo>
                                <a:lnTo>
                                  <a:pt x="1273810" y="0"/>
                                </a:lnTo>
                                <a:lnTo>
                                  <a:pt x="1273810" y="142875"/>
                                </a:lnTo>
                                <a:lnTo>
                                  <a:pt x="1617345" y="142875"/>
                                </a:lnTo>
                                <a:lnTo>
                                  <a:pt x="1617345" y="0"/>
                                </a:lnTo>
                                <a:close/>
                              </a:path>
                            </a:pathLst>
                          </a:custGeom>
                          <a:solidFill>
                            <a:srgbClr val="c3bb95"/>
                          </a:solidFill>
                          <a:ln w="0">
                            <a:noFill/>
                          </a:ln>
                        </wps:spPr>
                        <wps:style>
                          <a:lnRef idx="0"/>
                          <a:fillRef idx="0"/>
                          <a:effectRef idx="0"/>
                          <a:fontRef idx="minor"/>
                        </wps:style>
                        <wps:bodyPr/>
                      </wps:wsp>
                    </wpg:wgp>
                  </a:graphicData>
                </a:graphic>
              </wp:anchor>
            </w:drawing>
          </mc:Choice>
          <mc:Fallback>
            <w:pict>
              <v:group id="shape_0" alt="Group 3" style="position:absolute;margin-left:197.9pt;margin-top:0pt;width:229.45pt;height:90.75pt" coordorigin="3958,0" coordsize="4589,1815"/>
            </w:pict>
          </mc:Fallback>
        </mc:AlternateContent>
      </w:r>
      <w:r>
        <w:rPr>
          <w:i/>
          <w:sz w:val="18"/>
        </w:rPr>
        <w:t>Random</w:t>
      </w:r>
      <w:r>
        <w:rPr>
          <w:i/>
          <w:spacing w:val="-10"/>
          <w:sz w:val="18"/>
        </w:rPr>
        <w:t xml:space="preserve"> </w:t>
      </w:r>
      <w:r>
        <w:rPr>
          <w:i/>
          <w:sz w:val="18"/>
        </w:rPr>
        <w:t>and</w:t>
      </w:r>
      <w:r>
        <w:rPr>
          <w:i/>
          <w:spacing w:val="-10"/>
          <w:sz w:val="18"/>
        </w:rPr>
        <w:t xml:space="preserve"> </w:t>
      </w:r>
      <w:r>
        <w:rPr>
          <w:i/>
          <w:sz w:val="18"/>
        </w:rPr>
        <w:t>sub-basin</w:t>
      </w:r>
      <w:r>
        <w:rPr>
          <w:i/>
          <w:spacing w:val="-10"/>
          <w:sz w:val="18"/>
        </w:rPr>
        <w:t xml:space="preserve"> </w:t>
      </w:r>
      <w:r>
        <w:rPr>
          <w:i/>
          <w:sz w:val="18"/>
        </w:rPr>
        <w:t>patterns</w:t>
      </w:r>
      <w:r>
        <w:rPr>
          <w:i/>
          <w:spacing w:val="40"/>
          <w:sz w:val="18"/>
        </w:rPr>
        <w:t xml:space="preserve"> </w:t>
      </w:r>
      <w:r>
        <w:rPr>
          <w:i/>
          <w:sz w:val="18"/>
        </w:rPr>
        <w:t>Global change scenarios</w:t>
      </w:r>
      <w:r>
        <w:rPr>
          <w:i/>
          <w:spacing w:val="40"/>
          <w:sz w:val="18"/>
        </w:rPr>
        <w:t xml:space="preserve"> </w:t>
      </w:r>
      <w:r>
        <w:rPr>
          <w:sz w:val="18"/>
        </w:rPr>
        <w:t>Numerical analysis</w:t>
      </w:r>
    </w:p>
    <w:p>
      <w:pPr>
        <w:pStyle w:val="Normal"/>
        <w:spacing w:lineRule="exact" w:line="207"/>
        <w:ind w:left="104" w:hanging="0"/>
        <w:rPr>
          <w:sz w:val="18"/>
        </w:rPr>
      </w:pPr>
      <w:r>
        <w:rPr>
          <w:spacing w:val="-2"/>
          <w:sz w:val="18"/>
        </w:rPr>
        <w:t>Robustness</w:t>
      </w:r>
    </w:p>
    <w:p>
      <w:pPr>
        <w:pStyle w:val="Normal"/>
        <w:spacing w:lineRule="auto" w:line="259" w:before="17" w:after="0"/>
        <w:ind w:left="104" w:right="7693" w:hanging="0"/>
        <w:rPr>
          <w:sz w:val="18"/>
        </w:rPr>
      </w:pPr>
      <w:r>
        <w:rPr>
          <w:i/>
          <w:sz w:val="18"/>
        </w:rPr>
        <w:t>Interface knowledge transfer</w:t>
      </w:r>
      <w:r>
        <w:rPr>
          <w:i/>
          <w:spacing w:val="40"/>
          <w:sz w:val="18"/>
        </w:rPr>
        <w:t xml:space="preserve"> </w:t>
      </w:r>
      <w:r>
        <w:rPr>
          <w:sz w:val="18"/>
        </w:rPr>
        <w:t>Generate</w:t>
      </w:r>
      <w:r>
        <w:rPr>
          <w:spacing w:val="-10"/>
          <w:sz w:val="18"/>
        </w:rPr>
        <w:t xml:space="preserve"> </w:t>
      </w:r>
      <w:r>
        <w:rPr>
          <w:sz w:val="18"/>
        </w:rPr>
        <w:t>predictions</w:t>
      </w:r>
      <w:r>
        <w:rPr>
          <w:spacing w:val="-10"/>
          <w:sz w:val="18"/>
        </w:rPr>
        <w:t xml:space="preserve"> </w:t>
      </w:r>
      <w:r>
        <w:rPr>
          <w:sz w:val="18"/>
        </w:rPr>
        <w:t>scenarios</w:t>
      </w:r>
      <w:r>
        <w:rPr>
          <w:spacing w:val="40"/>
          <w:sz w:val="18"/>
        </w:rPr>
        <w:t xml:space="preserve"> </w:t>
      </w:r>
      <w:r>
        <w:rPr>
          <w:sz w:val="18"/>
        </w:rPr>
        <w:t>Robustness</w:t>
      </w:r>
      <w:r>
        <w:rPr>
          <w:spacing w:val="-1"/>
          <w:sz w:val="18"/>
        </w:rPr>
        <w:t xml:space="preserve"> </w:t>
      </w:r>
      <w:r>
        <w:rPr>
          <w:sz w:val="18"/>
        </w:rPr>
        <w:t>analysis</w:t>
      </w:r>
    </w:p>
    <w:p>
      <w:pPr>
        <w:sectPr>
          <w:type w:val="nextPage"/>
          <w:pgSz w:w="12240" w:h="15840"/>
          <w:pgMar w:left="1000" w:right="1060" w:gutter="0" w:header="0" w:top="1360" w:footer="0" w:bottom="280"/>
          <w:pgNumType w:fmt="decimal"/>
          <w:formProt w:val="false"/>
          <w:textDirection w:val="lrTb"/>
          <w:docGrid w:type="default" w:linePitch="100" w:charSpace="4096"/>
        </w:sectPr>
        <w:pStyle w:val="Normal"/>
        <w:spacing w:lineRule="exact" w:line="207"/>
        <w:ind w:left="104" w:hanging="0"/>
        <w:rPr>
          <w:sz w:val="18"/>
        </w:rPr>
      </w:pPr>
      <w:r>
        <w:rPr>
          <w:sz w:val="18"/>
        </w:rPr>
        <w:t>Writing</w:t>
      </w:r>
      <w:r>
        <w:rPr>
          <w:spacing w:val="-6"/>
          <w:sz w:val="18"/>
        </w:rPr>
        <w:t xml:space="preserve"> </w:t>
      </w:r>
      <w:r>
        <w:rPr>
          <w:sz w:val="18"/>
        </w:rPr>
        <w:t>manuscript</w:t>
      </w:r>
      <w:r>
        <w:rPr>
          <w:spacing w:val="-5"/>
          <w:sz w:val="18"/>
        </w:rPr>
        <w:t xml:space="preserve"> </w:t>
      </w:r>
      <w:r>
        <w:rPr>
          <w:sz w:val="18"/>
        </w:rPr>
        <w:t>and</w:t>
      </w:r>
      <w:r>
        <w:rPr>
          <w:spacing w:val="-8"/>
          <w:sz w:val="18"/>
        </w:rPr>
        <w:t xml:space="preserve"> </w:t>
      </w:r>
      <w:r>
        <w:rPr>
          <w:spacing w:val="-2"/>
          <w:sz w:val="18"/>
        </w:rPr>
        <w:t>reporting</w:t>
      </w:r>
    </w:p>
    <w:p>
      <w:pPr>
        <w:pStyle w:val="Heading1"/>
        <w:spacing w:before="7" w:after="0"/>
        <w:rPr>
          <w:color w:val="4E80BC"/>
          <w:spacing w:val="-2"/>
        </w:rPr>
      </w:pPr>
      <w:bookmarkStart w:id="9" w:name="Platform_for_knowledge_transfer"/>
      <w:bookmarkEnd w:id="9"/>
      <w:r>
        <w:rPr>
          <w:color w:val="4E80BC"/>
          <w:spacing w:val="-2"/>
        </w:rPr>
        <w:t>Project Team</w:t>
      </w:r>
    </w:p>
    <w:p>
      <w:pPr>
        <w:pStyle w:val="Heading1"/>
        <w:spacing w:before="7" w:after="0"/>
        <w:ind w:left="0" w:hanging="0"/>
        <w:jc w:val="left"/>
        <w:rPr/>
      </w:pPr>
      <w:r>
        <w:rPr>
          <w:rFonts w:ascii="Cambria" w:hAnsi="Cambria"/>
          <w:b w:val="false"/>
          <w:bCs w:val="false"/>
          <w:sz w:val="24"/>
          <w:szCs w:val="24"/>
        </w:rPr>
        <w:t xml:space="preserve">* Dr. </w:t>
      </w:r>
      <w:r>
        <w:rPr>
          <w:rFonts w:ascii="Cambria" w:hAnsi="Cambria"/>
          <w:b/>
          <w:bCs/>
          <w:sz w:val="24"/>
          <w:szCs w:val="24"/>
        </w:rPr>
        <w:t>Carlos Fernandez Delgado</w:t>
      </w:r>
      <w:r>
        <w:rPr>
          <w:rFonts w:ascii="Cambria" w:hAnsi="Cambria"/>
          <w:b w:val="false"/>
          <w:bCs w:val="false"/>
          <w:sz w:val="24"/>
          <w:szCs w:val="24"/>
        </w:rPr>
        <w:t xml:space="preserve">, Catedrático de Zoología, Departamento de Zoología, Universidad  de Córdoba, Spain. </w:t>
      </w:r>
    </w:p>
    <w:p>
      <w:pPr>
        <w:pStyle w:val="Heading1"/>
        <w:spacing w:before="7" w:after="0"/>
        <w:ind w:left="0" w:hanging="0"/>
        <w:jc w:val="left"/>
        <w:rPr/>
      </w:pPr>
      <w:r>
        <w:rPr>
          <w:rFonts w:ascii="Cambria" w:hAnsi="Cambria"/>
          <w:b w:val="false"/>
          <w:bCs w:val="false"/>
          <w:sz w:val="24"/>
          <w:szCs w:val="24"/>
        </w:rPr>
        <w:t xml:space="preserve">* Dr. </w:t>
      </w:r>
      <w:r>
        <w:rPr>
          <w:rFonts w:ascii="Cambria" w:hAnsi="Cambria"/>
          <w:b/>
          <w:bCs/>
          <w:sz w:val="24"/>
          <w:szCs w:val="24"/>
        </w:rPr>
        <w:t>Lucía Galvez Bravo</w:t>
      </w:r>
      <w:r>
        <w:rPr>
          <w:rFonts w:ascii="Cambria" w:hAnsi="Cambria"/>
          <w:b w:val="false"/>
          <w:bCs w:val="false"/>
          <w:sz w:val="24"/>
          <w:szCs w:val="24"/>
        </w:rPr>
        <w:t>, Senior Lecturer in Conservation Ecology, School of Biological and Environmental Sciences, Liverpool John Moores University, UK</w:t>
      </w:r>
    </w:p>
    <w:p>
      <w:pPr>
        <w:pStyle w:val="Heading1"/>
        <w:spacing w:before="7" w:after="0"/>
        <w:ind w:left="0" w:hanging="0"/>
        <w:jc w:val="left"/>
        <w:rPr/>
      </w:pPr>
      <w:r>
        <w:rPr>
          <w:rFonts w:ascii="Cambria" w:hAnsi="Cambria"/>
          <w:b w:val="false"/>
          <w:bCs w:val="false"/>
          <w:sz w:val="24"/>
          <w:szCs w:val="24"/>
        </w:rPr>
        <w:t xml:space="preserve">* Dr. </w:t>
      </w:r>
      <w:r>
        <w:rPr>
          <w:rFonts w:ascii="Cambria" w:hAnsi="Cambria"/>
          <w:b/>
          <w:bCs/>
          <w:sz w:val="24"/>
          <w:szCs w:val="24"/>
        </w:rPr>
        <w:t xml:space="preserve">Carlos </w:t>
      </w:r>
      <w:r>
        <w:rPr>
          <w:rFonts w:ascii="Cambria" w:hAnsi="Cambria"/>
          <w:b/>
          <w:bCs/>
          <w:sz w:val="24"/>
          <w:szCs w:val="24"/>
        </w:rPr>
        <w:t xml:space="preserve">J. </w:t>
      </w:r>
      <w:r>
        <w:rPr>
          <w:rFonts w:ascii="Cambria" w:hAnsi="Cambria"/>
          <w:b/>
          <w:bCs/>
          <w:sz w:val="24"/>
          <w:szCs w:val="24"/>
        </w:rPr>
        <w:t>Melián</w:t>
      </w:r>
      <w:r>
        <w:rPr>
          <w:rFonts w:ascii="Cambria" w:hAnsi="Cambria"/>
          <w:b w:val="false"/>
          <w:bCs w:val="false"/>
          <w:sz w:val="24"/>
          <w:szCs w:val="24"/>
        </w:rPr>
        <w:t xml:space="preserve">, Group Leader, Department of Fish Ecology and Evolution, EAWAG, </w:t>
      </w:r>
      <w:r>
        <w:rPr>
          <w:rFonts w:ascii="Cambria" w:hAnsi="Cambria"/>
          <w:b w:val="false"/>
          <w:bCs w:val="false"/>
          <w:sz w:val="24"/>
          <w:szCs w:val="24"/>
        </w:rPr>
        <w:t xml:space="preserve">ETH-Domain, </w:t>
      </w:r>
      <w:r>
        <w:rPr>
          <w:rFonts w:ascii="Cambria" w:hAnsi="Cambria"/>
          <w:b w:val="false"/>
          <w:bCs w:val="false"/>
          <w:sz w:val="24"/>
          <w:szCs w:val="24"/>
        </w:rPr>
        <w:t>Swiss Federal Institute of Aquatic Science and Technology, Switzerland.</w:t>
      </w:r>
    </w:p>
    <w:p>
      <w:pPr>
        <w:pStyle w:val="Heading1"/>
        <w:spacing w:before="7" w:after="0"/>
        <w:ind w:left="0" w:hanging="0"/>
        <w:jc w:val="left"/>
        <w:rPr/>
      </w:pPr>
      <w:r>
        <w:rPr>
          <w:rFonts w:ascii="Cambria" w:hAnsi="Cambria"/>
          <w:b w:val="false"/>
          <w:bCs w:val="false"/>
          <w:sz w:val="24"/>
          <w:szCs w:val="24"/>
        </w:rPr>
        <w:t xml:space="preserve">* Dr. </w:t>
      </w:r>
      <w:r>
        <w:rPr>
          <w:rFonts w:ascii="Cambria" w:hAnsi="Cambria"/>
          <w:b/>
          <w:bCs/>
          <w:sz w:val="24"/>
          <w:szCs w:val="24"/>
        </w:rPr>
        <w:t>Ramón de Miguel Rubio</w:t>
      </w:r>
      <w:r>
        <w:rPr>
          <w:rFonts w:ascii="Cambria" w:hAnsi="Cambria"/>
          <w:b w:val="false"/>
          <w:bCs w:val="false"/>
          <w:sz w:val="24"/>
          <w:szCs w:val="24"/>
        </w:rPr>
        <w:t>, Enviromental Research Technician, Tragsatec, Madrid, Spain.</w:t>
      </w:r>
    </w:p>
    <w:p>
      <w:pPr>
        <w:pStyle w:val="Heading1"/>
        <w:spacing w:before="7" w:after="0"/>
        <w:ind w:left="0" w:hanging="0"/>
        <w:jc w:val="left"/>
        <w:rPr>
          <w:color w:val="000000"/>
        </w:rPr>
      </w:pPr>
      <w:r>
        <w:rPr>
          <w:rFonts w:ascii="Cambria" w:hAnsi="Cambria"/>
          <w:b w:val="false"/>
          <w:bCs w:val="false"/>
          <w:color w:val="000000"/>
          <w:sz w:val="24"/>
          <w:szCs w:val="24"/>
        </w:rPr>
        <w:t xml:space="preserve">* Dr. </w:t>
      </w:r>
      <w:r>
        <w:rPr>
          <w:rFonts w:ascii="Cambria" w:hAnsi="Cambria"/>
          <w:b/>
          <w:bCs/>
          <w:color w:val="000000"/>
          <w:sz w:val="24"/>
          <w:szCs w:val="24"/>
        </w:rPr>
        <w:t>Ali R. Vahdati</w:t>
      </w:r>
      <w:r>
        <w:rPr>
          <w:rFonts w:ascii="Cambria" w:hAnsi="Cambria"/>
          <w:b w:val="false"/>
          <w:bCs w:val="false"/>
          <w:color w:val="000000"/>
          <w:sz w:val="24"/>
          <w:szCs w:val="24"/>
        </w:rPr>
        <w:t xml:space="preserve">, Senior lecturer. Department of anthropology, University of Zurich, </w:t>
      </w:r>
      <w:r>
        <w:rPr>
          <w:rFonts w:ascii="Cambria" w:hAnsi="Cambria"/>
          <w:b w:val="false"/>
          <w:bCs w:val="false"/>
          <w:color w:val="000000"/>
          <w:sz w:val="24"/>
          <w:szCs w:val="24"/>
        </w:rPr>
        <w:t>Switzerland.</w:t>
      </w:r>
    </w:p>
    <w:p>
      <w:pPr>
        <w:pStyle w:val="Heading1"/>
        <w:spacing w:before="7" w:after="0"/>
        <w:jc w:val="left"/>
        <w:rPr>
          <w:color w:val="4E80BC"/>
          <w:spacing w:val="-2"/>
        </w:rPr>
      </w:pPr>
      <w:r>
        <w:rPr>
          <w:color w:val="4E80BC"/>
          <w:spacing w:val="-2"/>
        </w:rPr>
      </w:r>
    </w:p>
    <w:p>
      <w:pPr>
        <w:pStyle w:val="Heading1"/>
        <w:spacing w:before="7" w:after="0"/>
        <w:rPr/>
      </w:pPr>
      <w:r>
        <w:rPr>
          <w:color w:val="4E80BC"/>
          <w:spacing w:val="-2"/>
        </w:rPr>
        <w:t>References</w:t>
      </w:r>
    </w:p>
    <w:p>
      <w:pPr>
        <w:pStyle w:val="TextBody"/>
        <w:spacing w:before="5" w:after="0"/>
        <w:rPr>
          <w:rFonts w:ascii="Calibri" w:hAnsi="Calibri"/>
          <w:b/>
          <w:b/>
          <w:sz w:val="31"/>
        </w:rPr>
      </w:pPr>
      <w:r>
        <w:rPr>
          <w:rFonts w:ascii="Calibri" w:hAnsi="Calibri"/>
          <w:b/>
          <w:sz w:val="31"/>
        </w:rPr>
      </w:r>
    </w:p>
    <w:p>
      <w:pPr>
        <w:pStyle w:val="Normal"/>
        <w:spacing w:before="1" w:after="0"/>
        <w:ind w:left="172" w:right="383" w:hanging="0"/>
        <w:jc w:val="both"/>
        <w:rPr>
          <w:sz w:val="20"/>
        </w:rPr>
      </w:pPr>
      <w:r>
        <w:rPr>
          <w:sz w:val="20"/>
        </w:rPr>
        <w:t xml:space="preserve">Ali, E., Cramer, W., Carnicer, J., Georgopoulou, E., Hilmi, N.J.M., Le Cozannet, G. et al. (2022). Cross-Chapter Paper 4: Mediterranean Region. In: H.O. Pörtner, D.C. Roberts, M. Tignor, E.S. Poloczanska, K. Mintenbeck, A. Alegría, M. Craig, S. et al. (Eds.). </w:t>
      </w:r>
      <w:r>
        <w:rPr>
          <w:i/>
          <w:sz w:val="20"/>
        </w:rPr>
        <w:t>Climate Change 2022: Impacts, Adaptation and Vulnerability. Contribution of Working Group</w:t>
      </w:r>
      <w:r>
        <w:rPr>
          <w:i/>
          <w:spacing w:val="40"/>
          <w:sz w:val="20"/>
        </w:rPr>
        <w:t xml:space="preserve"> </w:t>
      </w:r>
      <w:r>
        <w:rPr>
          <w:i/>
          <w:sz w:val="20"/>
        </w:rPr>
        <w:t>II</w:t>
      </w:r>
      <w:r>
        <w:rPr>
          <w:i/>
          <w:spacing w:val="-4"/>
          <w:sz w:val="20"/>
        </w:rPr>
        <w:t xml:space="preserve"> </w:t>
      </w:r>
      <w:r>
        <w:rPr>
          <w:i/>
          <w:sz w:val="20"/>
        </w:rPr>
        <w:t>to</w:t>
      </w:r>
      <w:r>
        <w:rPr>
          <w:i/>
          <w:spacing w:val="-3"/>
          <w:sz w:val="20"/>
        </w:rPr>
        <w:t xml:space="preserve"> </w:t>
      </w:r>
      <w:r>
        <w:rPr>
          <w:i/>
          <w:sz w:val="20"/>
        </w:rPr>
        <w:t>the</w:t>
      </w:r>
      <w:r>
        <w:rPr>
          <w:i/>
          <w:spacing w:val="-1"/>
          <w:sz w:val="20"/>
        </w:rPr>
        <w:t xml:space="preserve"> </w:t>
      </w:r>
      <w:r>
        <w:rPr>
          <w:i/>
          <w:sz w:val="20"/>
        </w:rPr>
        <w:t>Sixth</w:t>
      </w:r>
      <w:r>
        <w:rPr>
          <w:i/>
          <w:spacing w:val="-2"/>
          <w:sz w:val="20"/>
        </w:rPr>
        <w:t xml:space="preserve"> </w:t>
      </w:r>
      <w:r>
        <w:rPr>
          <w:i/>
          <w:sz w:val="20"/>
        </w:rPr>
        <w:t>Assessment</w:t>
      </w:r>
      <w:r>
        <w:rPr>
          <w:i/>
          <w:spacing w:val="-1"/>
          <w:sz w:val="20"/>
        </w:rPr>
        <w:t xml:space="preserve"> </w:t>
      </w:r>
      <w:r>
        <w:rPr>
          <w:i/>
          <w:sz w:val="20"/>
        </w:rPr>
        <w:t>Report</w:t>
      </w:r>
      <w:r>
        <w:rPr>
          <w:i/>
          <w:spacing w:val="-1"/>
          <w:sz w:val="20"/>
        </w:rPr>
        <w:t xml:space="preserve"> </w:t>
      </w:r>
      <w:r>
        <w:rPr>
          <w:i/>
          <w:sz w:val="20"/>
        </w:rPr>
        <w:t>of</w:t>
      </w:r>
      <w:r>
        <w:rPr>
          <w:i/>
          <w:spacing w:val="-2"/>
          <w:sz w:val="20"/>
        </w:rPr>
        <w:t xml:space="preserve"> </w:t>
      </w:r>
      <w:r>
        <w:rPr>
          <w:i/>
          <w:sz w:val="20"/>
        </w:rPr>
        <w:t>the</w:t>
      </w:r>
      <w:r>
        <w:rPr>
          <w:i/>
          <w:spacing w:val="-1"/>
          <w:sz w:val="20"/>
        </w:rPr>
        <w:t xml:space="preserve"> </w:t>
      </w:r>
      <w:r>
        <w:rPr>
          <w:i/>
          <w:sz w:val="20"/>
        </w:rPr>
        <w:t>Intergovernmental</w:t>
      </w:r>
      <w:r>
        <w:rPr>
          <w:i/>
          <w:spacing w:val="-1"/>
          <w:sz w:val="20"/>
        </w:rPr>
        <w:t xml:space="preserve"> </w:t>
      </w:r>
      <w:r>
        <w:rPr>
          <w:i/>
          <w:sz w:val="20"/>
        </w:rPr>
        <w:t>Panel</w:t>
      </w:r>
      <w:r>
        <w:rPr>
          <w:i/>
          <w:spacing w:val="-3"/>
          <w:sz w:val="20"/>
        </w:rPr>
        <w:t xml:space="preserve"> </w:t>
      </w:r>
      <w:r>
        <w:rPr>
          <w:i/>
          <w:sz w:val="20"/>
        </w:rPr>
        <w:t>on</w:t>
      </w:r>
      <w:r>
        <w:rPr>
          <w:i/>
          <w:spacing w:val="-3"/>
          <w:sz w:val="20"/>
        </w:rPr>
        <w:t xml:space="preserve"> </w:t>
      </w:r>
      <w:r>
        <w:rPr>
          <w:i/>
          <w:sz w:val="20"/>
        </w:rPr>
        <w:t>Climate</w:t>
      </w:r>
      <w:r>
        <w:rPr>
          <w:i/>
          <w:spacing w:val="-2"/>
          <w:sz w:val="20"/>
        </w:rPr>
        <w:t xml:space="preserve"> </w:t>
      </w:r>
      <w:r>
        <w:rPr>
          <w:i/>
          <w:sz w:val="20"/>
        </w:rPr>
        <w:t xml:space="preserve">Change, </w:t>
      </w:r>
      <w:r>
        <w:rPr>
          <w:sz w:val="20"/>
        </w:rPr>
        <w:t>Cambridge,</w:t>
      </w:r>
      <w:r>
        <w:rPr>
          <w:spacing w:val="-3"/>
          <w:sz w:val="20"/>
        </w:rPr>
        <w:t xml:space="preserve"> </w:t>
      </w:r>
      <w:r>
        <w:rPr>
          <w:sz w:val="20"/>
        </w:rPr>
        <w:t>UK</w:t>
      </w:r>
      <w:r>
        <w:rPr>
          <w:spacing w:val="-4"/>
          <w:sz w:val="20"/>
        </w:rPr>
        <w:t xml:space="preserve"> </w:t>
      </w:r>
      <w:r>
        <w:rPr>
          <w:sz w:val="20"/>
        </w:rPr>
        <w:t>and</w:t>
      </w:r>
      <w:r>
        <w:rPr>
          <w:spacing w:val="-3"/>
          <w:sz w:val="20"/>
        </w:rPr>
        <w:t xml:space="preserve"> </w:t>
      </w:r>
      <w:r>
        <w:rPr>
          <w:sz w:val="20"/>
        </w:rPr>
        <w:t>New</w:t>
      </w:r>
      <w:r>
        <w:rPr>
          <w:spacing w:val="-3"/>
          <w:sz w:val="20"/>
        </w:rPr>
        <w:t xml:space="preserve"> </w:t>
      </w:r>
      <w:r>
        <w:rPr>
          <w:sz w:val="20"/>
        </w:rPr>
        <w:t>York, NY, USA, Cambridge University Press, pp. 2233–2272.</w:t>
      </w:r>
    </w:p>
    <w:p>
      <w:pPr>
        <w:pStyle w:val="Normal"/>
        <w:spacing w:before="197" w:after="0"/>
        <w:ind w:left="172" w:right="398" w:hanging="0"/>
        <w:jc w:val="both"/>
        <w:rPr>
          <w:sz w:val="20"/>
        </w:rPr>
      </w:pPr>
      <w:r>
        <w:rPr>
          <w:sz w:val="20"/>
        </w:rPr>
        <w:t>Brown, B.L. and Swan, C.M. (2010), Dendritic network structure constrains metacommunity properties in riverine ecosystems. Journal of Animal Ecology, 79: 571-580.</w:t>
      </w:r>
    </w:p>
    <w:p>
      <w:pPr>
        <w:pStyle w:val="TextBody"/>
        <w:rPr>
          <w:sz w:val="17"/>
        </w:rPr>
      </w:pPr>
      <w:r>
        <w:rPr>
          <w:sz w:val="17"/>
        </w:rPr>
      </w:r>
    </w:p>
    <w:p>
      <w:pPr>
        <w:pStyle w:val="Normal"/>
        <w:ind w:left="172" w:right="376" w:hanging="0"/>
        <w:jc w:val="both"/>
        <w:rPr>
          <w:sz w:val="20"/>
        </w:rPr>
      </w:pPr>
      <w:r>
        <w:rPr>
          <w:sz w:val="20"/>
        </w:rPr>
        <w:t>Bernardo, J.M., Ilhéu, M., Matono, P. &amp; Costa, A.M. (2003). Interannual variation of fish assemblage structure in a Mediterranean</w:t>
      </w:r>
      <w:r>
        <w:rPr>
          <w:spacing w:val="-3"/>
          <w:sz w:val="20"/>
        </w:rPr>
        <w:t xml:space="preserve"> </w:t>
      </w:r>
      <w:r>
        <w:rPr>
          <w:sz w:val="20"/>
        </w:rPr>
        <w:t>river:</w:t>
      </w:r>
      <w:r>
        <w:rPr>
          <w:spacing w:val="-3"/>
          <w:sz w:val="20"/>
        </w:rPr>
        <w:t xml:space="preserve"> </w:t>
      </w:r>
      <w:r>
        <w:rPr>
          <w:sz w:val="20"/>
        </w:rPr>
        <w:t>Implications</w:t>
      </w:r>
      <w:r>
        <w:rPr>
          <w:spacing w:val="-4"/>
          <w:sz w:val="20"/>
        </w:rPr>
        <w:t xml:space="preserve"> </w:t>
      </w:r>
      <w:r>
        <w:rPr>
          <w:sz w:val="20"/>
        </w:rPr>
        <w:t>of</w:t>
      </w:r>
      <w:r>
        <w:rPr>
          <w:spacing w:val="-4"/>
          <w:sz w:val="20"/>
        </w:rPr>
        <w:t xml:space="preserve"> </w:t>
      </w:r>
      <w:r>
        <w:rPr>
          <w:sz w:val="20"/>
        </w:rPr>
        <w:t>streamflow</w:t>
      </w:r>
      <w:r>
        <w:rPr>
          <w:spacing w:val="-3"/>
          <w:sz w:val="20"/>
        </w:rPr>
        <w:t xml:space="preserve"> </w:t>
      </w:r>
      <w:r>
        <w:rPr>
          <w:sz w:val="20"/>
        </w:rPr>
        <w:t>on</w:t>
      </w:r>
      <w:r>
        <w:rPr>
          <w:spacing w:val="-3"/>
          <w:sz w:val="20"/>
        </w:rPr>
        <w:t xml:space="preserve"> </w:t>
      </w:r>
      <w:r>
        <w:rPr>
          <w:sz w:val="20"/>
        </w:rPr>
        <w:t>the</w:t>
      </w:r>
      <w:r>
        <w:rPr>
          <w:spacing w:val="-3"/>
          <w:sz w:val="20"/>
        </w:rPr>
        <w:t xml:space="preserve"> </w:t>
      </w:r>
      <w:r>
        <w:rPr>
          <w:sz w:val="20"/>
        </w:rPr>
        <w:t>dominance</w:t>
      </w:r>
      <w:r>
        <w:rPr>
          <w:spacing w:val="-3"/>
          <w:sz w:val="20"/>
        </w:rPr>
        <w:t xml:space="preserve"> </w:t>
      </w:r>
      <w:r>
        <w:rPr>
          <w:sz w:val="20"/>
        </w:rPr>
        <w:t>of</w:t>
      </w:r>
      <w:r>
        <w:rPr>
          <w:spacing w:val="-2"/>
          <w:sz w:val="20"/>
        </w:rPr>
        <w:t xml:space="preserve"> </w:t>
      </w:r>
      <w:r>
        <w:rPr>
          <w:sz w:val="20"/>
        </w:rPr>
        <w:t>native</w:t>
      </w:r>
      <w:r>
        <w:rPr>
          <w:spacing w:val="-3"/>
          <w:sz w:val="20"/>
        </w:rPr>
        <w:t xml:space="preserve"> </w:t>
      </w:r>
      <w:r>
        <w:rPr>
          <w:sz w:val="20"/>
        </w:rPr>
        <w:t>or</w:t>
      </w:r>
      <w:r>
        <w:rPr>
          <w:spacing w:val="-3"/>
          <w:sz w:val="20"/>
        </w:rPr>
        <w:t xml:space="preserve"> </w:t>
      </w:r>
      <w:r>
        <w:rPr>
          <w:sz w:val="20"/>
        </w:rPr>
        <w:t>exotic</w:t>
      </w:r>
      <w:r>
        <w:rPr>
          <w:spacing w:val="-4"/>
          <w:sz w:val="20"/>
        </w:rPr>
        <w:t xml:space="preserve"> </w:t>
      </w:r>
      <w:r>
        <w:rPr>
          <w:sz w:val="20"/>
        </w:rPr>
        <w:t xml:space="preserve">species. </w:t>
      </w:r>
      <w:r>
        <w:rPr>
          <w:i/>
          <w:sz w:val="20"/>
        </w:rPr>
        <w:t>River</w:t>
      </w:r>
      <w:r>
        <w:rPr>
          <w:i/>
          <w:spacing w:val="-3"/>
          <w:sz w:val="20"/>
        </w:rPr>
        <w:t xml:space="preserve"> </w:t>
      </w:r>
      <w:r>
        <w:rPr>
          <w:i/>
          <w:sz w:val="20"/>
        </w:rPr>
        <w:t>Research</w:t>
      </w:r>
      <w:r>
        <w:rPr>
          <w:i/>
          <w:spacing w:val="-4"/>
          <w:sz w:val="20"/>
        </w:rPr>
        <w:t xml:space="preserve"> </w:t>
      </w:r>
      <w:r>
        <w:rPr>
          <w:i/>
          <w:sz w:val="20"/>
        </w:rPr>
        <w:t>and Applications</w:t>
      </w:r>
      <w:r>
        <w:rPr>
          <w:sz w:val="20"/>
        </w:rPr>
        <w:t>, 19, 1–12.</w:t>
      </w:r>
    </w:p>
    <w:p>
      <w:pPr>
        <w:pStyle w:val="TextBody"/>
        <w:spacing w:before="11" w:after="0"/>
        <w:rPr>
          <w:sz w:val="16"/>
        </w:rPr>
      </w:pPr>
      <w:r>
        <w:rPr>
          <w:sz w:val="16"/>
        </w:rPr>
      </w:r>
    </w:p>
    <w:p>
      <w:pPr>
        <w:pStyle w:val="Normal"/>
        <w:ind w:left="172" w:right="400" w:hanging="0"/>
        <w:jc w:val="both"/>
        <w:rPr>
          <w:sz w:val="20"/>
        </w:rPr>
      </w:pPr>
      <w:r>
        <w:rPr>
          <w:sz w:val="20"/>
        </w:rPr>
        <w:t xml:space="preserve">Gasith, A. &amp; Resh, V.H. (1999) Streams in Mediterranean climate regions: Abiotic influences and biotic responses to predictable seasonal events. </w:t>
      </w:r>
      <w:r>
        <w:rPr>
          <w:i/>
          <w:sz w:val="20"/>
        </w:rPr>
        <w:t>Annual Review of Ecology and Systematics</w:t>
      </w:r>
      <w:r>
        <w:rPr>
          <w:sz w:val="20"/>
        </w:rPr>
        <w:t>, 30, 51–81.</w:t>
      </w:r>
    </w:p>
    <w:p>
      <w:pPr>
        <w:pStyle w:val="TextBody"/>
        <w:rPr>
          <w:sz w:val="17"/>
        </w:rPr>
      </w:pPr>
      <w:r>
        <w:rPr>
          <w:sz w:val="17"/>
        </w:rPr>
      </w:r>
    </w:p>
    <w:p>
      <w:pPr>
        <w:pStyle w:val="Normal"/>
        <w:ind w:left="172" w:right="390" w:hanging="0"/>
        <w:jc w:val="both"/>
        <w:rPr>
          <w:sz w:val="20"/>
        </w:rPr>
      </w:pPr>
      <w:r>
        <w:rPr>
          <w:sz w:val="20"/>
        </w:rPr>
        <w:t>Jarić I, Lennox RJ, Kalinkat G, CvijanovićG, Radinger J. Susceptibility of European freshwater fish to climate change: Species profiling based on life</w:t>
      </w:r>
      <w:r>
        <w:rPr>
          <w:rFonts w:ascii="Microsoft Sans Serif" w:hAnsi="Microsoft Sans Serif"/>
          <w:sz w:val="20"/>
        </w:rPr>
        <w:t>‐</w:t>
      </w:r>
      <w:r>
        <w:rPr>
          <w:sz w:val="20"/>
        </w:rPr>
        <w:t xml:space="preserve">history and environmental characteristics. Glob ChangeBiol. </w:t>
      </w:r>
      <w:r>
        <w:rPr>
          <w:spacing w:val="-2"/>
          <w:sz w:val="20"/>
        </w:rPr>
        <w:t>2019;25:448–458.</w:t>
      </w:r>
    </w:p>
    <w:p>
      <w:pPr>
        <w:pStyle w:val="TextBody"/>
        <w:spacing w:before="11" w:after="0"/>
        <w:rPr>
          <w:sz w:val="16"/>
        </w:rPr>
      </w:pPr>
      <w:r>
        <w:rPr>
          <w:sz w:val="16"/>
        </w:rPr>
      </w:r>
    </w:p>
    <w:p>
      <w:pPr>
        <w:pStyle w:val="Normal"/>
        <w:ind w:left="172" w:right="391" w:hanging="0"/>
        <w:jc w:val="both"/>
        <w:rPr>
          <w:sz w:val="20"/>
        </w:rPr>
      </w:pPr>
      <w:r>
        <w:rPr>
          <w:sz w:val="20"/>
        </w:rPr>
        <w:t xml:space="preserve">Magalhães, M.F., Beja, P., Schlosser, I.J. &amp; Collares-Pereira, M.J. (2007). Effects of multi-year droughts on fish assemblages of seasonally drying Mediterranean streams. </w:t>
      </w:r>
      <w:r>
        <w:rPr>
          <w:i/>
          <w:sz w:val="20"/>
        </w:rPr>
        <w:t>Freshwater Biology</w:t>
      </w:r>
      <w:r>
        <w:rPr>
          <w:sz w:val="20"/>
        </w:rPr>
        <w:t>, 52, 1494–1510.</w:t>
      </w:r>
    </w:p>
    <w:p>
      <w:pPr>
        <w:pStyle w:val="Normal"/>
        <w:ind w:left="172" w:right="391" w:hanging="0"/>
        <w:jc w:val="both"/>
        <w:rPr>
          <w:sz w:val="20"/>
        </w:rPr>
      </w:pPr>
      <w:r>
        <w:rPr>
          <w:sz w:val="20"/>
        </w:rPr>
      </w:r>
    </w:p>
    <w:p>
      <w:pPr>
        <w:pStyle w:val="Normal"/>
        <w:ind w:left="172" w:right="391" w:hanging="0"/>
        <w:jc w:val="both"/>
        <w:rPr>
          <w:sz w:val="20"/>
        </w:rPr>
      </w:pPr>
      <w:r>
        <w:rPr>
          <w:sz w:val="20"/>
        </w:rPr>
        <w:t>MITECO (2022) Estrategia Nacional de Restauración de Ríos 2022-2030. Ministerio para la Transición Ecológica y el Reto Demográfico. Secretaría de Estado de Medio Ambiente, Dirección General del Agua. Gobierno de España.</w:t>
      </w:r>
    </w:p>
    <w:p>
      <w:pPr>
        <w:pStyle w:val="TextBody"/>
        <w:spacing w:before="11" w:after="0"/>
        <w:rPr>
          <w:sz w:val="16"/>
        </w:rPr>
      </w:pPr>
      <w:r>
        <w:rPr>
          <w:sz w:val="16"/>
        </w:rPr>
      </w:r>
    </w:p>
    <w:p>
      <w:pPr>
        <w:pStyle w:val="Normal"/>
        <w:ind w:left="172" w:right="405" w:hanging="0"/>
        <w:jc w:val="both"/>
        <w:rPr>
          <w:sz w:val="20"/>
        </w:rPr>
      </w:pPr>
      <w:r>
        <w:rPr>
          <w:sz w:val="20"/>
        </w:rPr>
        <w:t xml:space="preserve">Reyjol, Y., Hugueny, B., Pont, D., Bianco, P.G., Beier, U., Caiola, N. et al. (2007). Patterns in species richness and endemism of European freshwater fish. </w:t>
      </w:r>
      <w:r>
        <w:rPr>
          <w:i/>
          <w:sz w:val="20"/>
        </w:rPr>
        <w:t xml:space="preserve">Global Ecology and Biogeography, </w:t>
      </w:r>
      <w:r>
        <w:rPr>
          <w:sz w:val="20"/>
        </w:rPr>
        <w:t>16, 65–75.</w:t>
      </w:r>
    </w:p>
    <w:p>
      <w:pPr>
        <w:pStyle w:val="TextBody"/>
        <w:rPr>
          <w:sz w:val="17"/>
        </w:rPr>
      </w:pPr>
      <w:r>
        <w:rPr>
          <w:sz w:val="17"/>
        </w:rPr>
      </w:r>
    </w:p>
    <w:p>
      <w:pPr>
        <w:pStyle w:val="Normal"/>
        <w:ind w:left="172" w:right="383" w:hanging="0"/>
        <w:jc w:val="both"/>
        <w:rPr>
          <w:sz w:val="20"/>
        </w:rPr>
      </w:pPr>
      <w:r>
        <w:rPr>
          <w:sz w:val="20"/>
        </w:rPr>
        <w:t xml:space="preserve">Smith, K. G., &amp; Darwall, W. R. (Eds.) (2006). </w:t>
      </w:r>
      <w:r>
        <w:rPr>
          <w:i/>
          <w:sz w:val="20"/>
        </w:rPr>
        <w:t xml:space="preserve">The status and distribution of freshwater fish endemic to the Mediterranean Basin </w:t>
      </w:r>
      <w:r>
        <w:rPr>
          <w:sz w:val="20"/>
        </w:rPr>
        <w:t>(Vol. 1). IUCN. Gland, Switzerland and Cambridge, UK.</w:t>
      </w:r>
    </w:p>
    <w:p>
      <w:pPr>
        <w:pStyle w:val="TextBody"/>
        <w:rPr>
          <w:sz w:val="17"/>
        </w:rPr>
      </w:pPr>
      <w:r>
        <w:rPr>
          <w:sz w:val="17"/>
        </w:rPr>
      </w:r>
    </w:p>
    <w:p>
      <w:pPr>
        <w:pStyle w:val="Normal"/>
        <w:ind w:left="172" w:right="405" w:hanging="0"/>
        <w:jc w:val="both"/>
        <w:rPr>
          <w:sz w:val="20"/>
        </w:rPr>
      </w:pPr>
      <w:r>
        <w:rPr>
          <w:sz w:val="20"/>
        </w:rPr>
        <w:t>Valerio, C., Baquero, R. A., Gómez Nicola, G., Garrido, A., &amp; De Stefano, L. (2022). Shedding light on the decline of Iberian freshwater fish species over the period 1980–2020. Freshwater Biology, 67, 169.</w:t>
      </w:r>
    </w:p>
    <w:sectPr>
      <w:type w:val="nextPage"/>
      <w:pgSz w:w="12240" w:h="15840"/>
      <w:pgMar w:left="1000" w:right="1060" w:gutter="0" w:header="0" w:top="144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Liberation Sans">
    <w:altName w:val="Arial"/>
    <w:charset w:val="01"/>
    <w:family w:val="swiss"/>
    <w:pitch w:val="variable"/>
  </w:font>
  <w:font w:name="Microsoft Sans Serif">
    <w:charset w:val="01"/>
    <w:family w:val="roman"/>
    <w:pitch w:val="variable"/>
  </w:font>
  <w:font w:name="Times New Roman">
    <w:charset w:val="01"/>
    <w:family w:val="roman"/>
    <w:pitch w:val="variable"/>
  </w:font>
  <w:font w:name="Arial">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22" w:hanging="360"/>
      </w:pPr>
      <w:rPr>
        <w:sz w:val="24"/>
        <w:spacing w:val="0"/>
        <w:i w:val="false"/>
        <w:b/>
        <w:szCs w:val="24"/>
        <w:iCs w:val="false"/>
        <w:bCs/>
        <w:w w:val="99"/>
        <w:rFonts w:ascii="Cambria" w:hAnsi="Cambria" w:eastAsia="Cambria" w:cs="Cambria"/>
        <w:lang w:val="en-US" w:eastAsia="en-US" w:bidi="ar-SA"/>
      </w:rPr>
    </w:lvl>
    <w:lvl w:ilvl="1">
      <w:start w:val="1"/>
      <w:numFmt w:val="decimal"/>
      <w:lvlText w:val="%2."/>
      <w:lvlJc w:val="left"/>
      <w:pPr>
        <w:tabs>
          <w:tab w:val="num" w:pos="0"/>
        </w:tabs>
        <w:ind w:left="892" w:hanging="480"/>
      </w:pPr>
      <w:rPr>
        <w:sz w:val="24"/>
        <w:spacing w:val="-1"/>
        <w:i w:val="false"/>
        <w:b w:val="false"/>
        <w:szCs w:val="24"/>
        <w:iCs w:val="false"/>
        <w:bCs w:val="false"/>
        <w:w w:val="99"/>
        <w:rFonts w:ascii="Cambria" w:hAnsi="Cambria" w:eastAsia="Cambria" w:cs="Cambria"/>
        <w:lang w:val="en-US" w:eastAsia="en-US" w:bidi="ar-SA"/>
      </w:rPr>
    </w:lvl>
    <w:lvl w:ilvl="2">
      <w:start w:val="1"/>
      <w:numFmt w:val="decimal"/>
      <w:lvlText w:val="%3."/>
      <w:lvlJc w:val="left"/>
      <w:pPr>
        <w:tabs>
          <w:tab w:val="num" w:pos="0"/>
        </w:tabs>
        <w:ind w:left="892" w:hanging="480"/>
      </w:pPr>
      <w:rPr>
        <w:sz w:val="24"/>
        <w:spacing w:val="-1"/>
        <w:i w:val="false"/>
        <w:b w:val="false"/>
        <w:szCs w:val="24"/>
        <w:iCs w:val="false"/>
        <w:bCs w:val="false"/>
        <w:w w:val="99"/>
        <w:rFonts w:ascii="Cambria" w:hAnsi="Cambria" w:eastAsia="Cambria" w:cs="Cambria"/>
        <w:lang w:val="en-US" w:eastAsia="en-US" w:bidi="ar-SA"/>
      </w:rPr>
    </w:lvl>
    <w:lvl w:ilvl="3">
      <w:start w:val="0"/>
      <w:numFmt w:val="bullet"/>
      <w:lvlText w:val="•"/>
      <w:lvlJc w:val="left"/>
      <w:pPr>
        <w:tabs>
          <w:tab w:val="num" w:pos="0"/>
        </w:tabs>
        <w:ind w:left="892" w:hanging="480"/>
      </w:pPr>
      <w:rPr>
        <w:rFonts w:ascii="Arial" w:hAnsi="Arial" w:cs="Arial" w:hint="default"/>
        <w:sz w:val="24"/>
        <w:spacing w:val="0"/>
        <w:i w:val="false"/>
        <w:b w:val="false"/>
        <w:szCs w:val="24"/>
        <w:iCs w:val="false"/>
        <w:bCs w:val="false"/>
        <w:w w:val="117"/>
        <w:lang w:val="en-US" w:eastAsia="en-US" w:bidi="ar-SA"/>
      </w:rPr>
    </w:lvl>
    <w:lvl w:ilvl="4">
      <w:start w:val="0"/>
      <w:numFmt w:val="bullet"/>
      <w:lvlText w:val=""/>
      <w:lvlJc w:val="left"/>
      <w:pPr>
        <w:tabs>
          <w:tab w:val="num" w:pos="0"/>
        </w:tabs>
        <w:ind w:left="3993" w:hanging="480"/>
      </w:pPr>
      <w:rPr>
        <w:rFonts w:ascii="Symbol" w:hAnsi="Symbol" w:cs="Symbol" w:hint="default"/>
        <w:lang w:val="en-US" w:eastAsia="en-US" w:bidi="ar-SA"/>
      </w:rPr>
    </w:lvl>
    <w:lvl w:ilvl="5">
      <w:start w:val="0"/>
      <w:numFmt w:val="bullet"/>
      <w:lvlText w:val=""/>
      <w:lvlJc w:val="left"/>
      <w:pPr>
        <w:tabs>
          <w:tab w:val="num" w:pos="0"/>
        </w:tabs>
        <w:ind w:left="5024" w:hanging="480"/>
      </w:pPr>
      <w:rPr>
        <w:rFonts w:ascii="Symbol" w:hAnsi="Symbol" w:cs="Symbol" w:hint="default"/>
        <w:lang w:val="en-US" w:eastAsia="en-US" w:bidi="ar-SA"/>
      </w:rPr>
    </w:lvl>
    <w:lvl w:ilvl="6">
      <w:start w:val="0"/>
      <w:numFmt w:val="bullet"/>
      <w:lvlText w:val=""/>
      <w:lvlJc w:val="left"/>
      <w:pPr>
        <w:tabs>
          <w:tab w:val="num" w:pos="0"/>
        </w:tabs>
        <w:ind w:left="6055" w:hanging="480"/>
      </w:pPr>
      <w:rPr>
        <w:rFonts w:ascii="Symbol" w:hAnsi="Symbol" w:cs="Symbol" w:hint="default"/>
        <w:lang w:val="en-US" w:eastAsia="en-US" w:bidi="ar-SA"/>
      </w:rPr>
    </w:lvl>
    <w:lvl w:ilvl="7">
      <w:start w:val="0"/>
      <w:numFmt w:val="bullet"/>
      <w:lvlText w:val=""/>
      <w:lvlJc w:val="left"/>
      <w:pPr>
        <w:tabs>
          <w:tab w:val="num" w:pos="0"/>
        </w:tabs>
        <w:ind w:left="7086" w:hanging="480"/>
      </w:pPr>
      <w:rPr>
        <w:rFonts w:ascii="Symbol" w:hAnsi="Symbol" w:cs="Symbol" w:hint="default"/>
        <w:lang w:val="en-US" w:eastAsia="en-US" w:bidi="ar-SA"/>
      </w:rPr>
    </w:lvl>
    <w:lvl w:ilvl="8">
      <w:start w:val="0"/>
      <w:numFmt w:val="bullet"/>
      <w:lvlText w:val=""/>
      <w:lvlJc w:val="left"/>
      <w:pPr>
        <w:tabs>
          <w:tab w:val="num" w:pos="0"/>
        </w:tabs>
        <w:ind w:left="8117" w:hanging="480"/>
      </w:pPr>
      <w:rPr>
        <w:rFonts w:ascii="Symbol" w:hAnsi="Symbol" w:cs="Symbol" w:hint="default"/>
        <w:lang w:val="en-US" w:eastAsia="en-US" w:bidi="ar-SA"/>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3"/>
  <w:defaultTabStop w:val="720"/>
  <w:autoHyphenation w:val="true"/>
  <w:compat>
    <w:compatSetting w:name="compatibilityMode" w:uri="http://schemas.microsoft.com/office/word" w:val="14"/>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ambria" w:hAnsi="Cambria" w:eastAsia="Cambria" w:cs="Cambria"/>
      <w:color w:val="auto"/>
      <w:kern w:val="0"/>
      <w:sz w:val="22"/>
      <w:szCs w:val="22"/>
      <w:lang w:val="en-US" w:eastAsia="en-US" w:bidi="ar-SA"/>
    </w:rPr>
  </w:style>
  <w:style w:type="paragraph" w:styleId="Heading1">
    <w:name w:val="Heading 1"/>
    <w:basedOn w:val="Normal"/>
    <w:uiPriority w:val="9"/>
    <w:qFormat/>
    <w:pPr>
      <w:ind w:left="172" w:hanging="0"/>
      <w:outlineLvl w:val="0"/>
    </w:pPr>
    <w:rPr>
      <w:rFonts w:ascii="Calibri" w:hAnsi="Calibri" w:eastAsia="Calibri" w:cs="Calibri"/>
      <w:b/>
      <w:bCs/>
      <w:sz w:val="32"/>
      <w:szCs w:val="32"/>
    </w:rPr>
  </w:style>
  <w:style w:type="paragraph" w:styleId="Heading2">
    <w:name w:val="Heading 2"/>
    <w:basedOn w:val="Normal"/>
    <w:uiPriority w:val="9"/>
    <w:unhideWhenUsed/>
    <w:qFormat/>
    <w:pPr>
      <w:spacing w:before="193" w:after="0"/>
      <w:ind w:left="172" w:hanging="0"/>
      <w:outlineLvl w:val="1"/>
    </w:pPr>
    <w:rPr>
      <w:rFonts w:ascii="Calibri" w:hAnsi="Calibri" w:eastAsia="Calibri" w:cs="Calibri"/>
      <w:b/>
      <w:bCs/>
      <w:sz w:val="28"/>
      <w:szCs w:val="28"/>
    </w:rPr>
  </w:style>
  <w:style w:type="paragraph" w:styleId="Heading3">
    <w:name w:val="Heading 3"/>
    <w:basedOn w:val="Normal"/>
    <w:uiPriority w:val="9"/>
    <w:unhideWhenUsed/>
    <w:qFormat/>
    <w:pPr>
      <w:ind w:left="621" w:hanging="360"/>
      <w:outlineLvl w:val="2"/>
    </w:pPr>
    <w:rPr>
      <w:b/>
      <w:bCs/>
      <w:sz w:val="24"/>
      <w:szCs w:val="24"/>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rPr>
      <w:sz w:val="24"/>
      <w:szCs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uiPriority w:val="10"/>
    <w:qFormat/>
    <w:pPr>
      <w:spacing w:before="107" w:after="0"/>
      <w:ind w:left="1900" w:right="345" w:hanging="1636"/>
    </w:pPr>
    <w:rPr>
      <w:rFonts w:ascii="Calibri" w:hAnsi="Calibri" w:eastAsia="Calibri" w:cs="Calibri"/>
      <w:b/>
      <w:bCs/>
      <w:i/>
      <w:iCs/>
      <w:sz w:val="36"/>
      <w:szCs w:val="36"/>
    </w:rPr>
  </w:style>
  <w:style w:type="paragraph" w:styleId="ListParagraph">
    <w:name w:val="List Paragraph"/>
    <w:basedOn w:val="Normal"/>
    <w:uiPriority w:val="1"/>
    <w:qFormat/>
    <w:pPr>
      <w:spacing w:before="35" w:after="0"/>
      <w:ind w:left="891" w:right="388" w:hanging="480"/>
      <w:jc w:val="both"/>
    </w:pPr>
    <w:rPr/>
  </w:style>
  <w:style w:type="paragraph" w:styleId="TableParagraph" w:customStyle="1">
    <w:name w:val="Table Paragraph"/>
    <w:basedOn w:val="Normal"/>
    <w:uiPriority w:val="1"/>
    <w:qFormat/>
    <w:pPr>
      <w:spacing w:before="41" w:after="0"/>
      <w:ind w:left="65"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TotalTime>
  <Application>LibreOffice/7.3.7.2$Linux_X86_64 LibreOffice_project/30$Build-2</Application>
  <AppVersion>15.0000</AppVersion>
  <Pages>6</Pages>
  <Words>1769</Words>
  <Characters>10423</Characters>
  <CharactersWithSpaces>12094</CharactersWithSpaces>
  <Paragraphs>93</Paragraphs>
  <Company>Liverpool John Moores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2023-06-30T08:28:00Z</dcterms:created>
  <dc:creator/>
  <dc:description/>
  <dc:language>en-US</dc:language>
  <cp:lastModifiedBy/>
  <dcterms:modified xsi:type="dcterms:W3CDTF">2023-06-30T12:37:09Z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2023-06-29T00:00:00Z</vt:filetime>
  </property>
  <property fmtid="{D5CDD505-2E9C-101B-9397-08002B2CF9AE}" pid="3" name="Creator">
    <vt:lpwstr>Writer</vt:lpwstr>
  </property>
  <property fmtid="{D5CDD505-2E9C-101B-9397-08002B2CF9AE}" pid="4" name="LastSaved">
    <vt:filetime>2023-06-30T00:00:00Z</vt:filetime>
  </property>
  <property fmtid="{D5CDD505-2E9C-101B-9397-08002B2CF9AE}" pid="5" name="Producer">
    <vt:lpwstr>LibreOffice 7.3</vt:lpwstr>
  </property>
</Properties>
</file>