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200" w:after="0"/>
        <w:jc w:val="both"/>
        <w:rPr/>
      </w:pPr>
      <w:r>
        <w:rPr/>
        <w:t>Proposal</w:t>
      </w:r>
    </w:p>
    <w:p>
      <w:pPr>
        <w:pStyle w:val="FirstParagraph"/>
        <w:jc w:val="both"/>
        <w:rPr>
          <w:i/>
          <w:i/>
          <w:iCs/>
        </w:rPr>
      </w:pPr>
      <w:r>
        <w:rPr>
          <w:i/>
          <w:iCs/>
        </w:rPr>
        <w:t>Extinction dynamics in changing metacommunities: Guadalquivir river basin as a case study</w:t>
      </w:r>
    </w:p>
    <w:p>
      <w:pPr>
        <w:pStyle w:val="Heading3"/>
        <w:jc w:val="both"/>
        <w:rPr/>
      </w:pPr>
      <w:r>
        <w:rPr/>
        <w:t>Introduction</w:t>
      </w:r>
    </w:p>
    <w:p>
      <w:pPr>
        <w:pStyle w:val="FirstParagraph"/>
        <w:jc w:val="both"/>
        <w:rPr/>
      </w:pPr>
      <w:r>
        <w:rPr/>
        <w:t>Mediterranean basins are vulnerable ecosystems with a high proportion of native and endemic species which are of high conservation concern. They are the most vulnerable/delicate “version” of dendritic metacommunities. Most native and endemic species occupy narrow ranges and are under multiple threats, including fragmentation, habitat loss, warming, droughts, and exotic species, which have been recognized as one of the key threats in freshwater ecosystems worldwide.</w:t>
      </w:r>
    </w:p>
    <w:p>
      <w:pPr>
        <w:pStyle w:val="TextBody"/>
        <w:jc w:val="both"/>
        <w:rPr/>
      </w:pPr>
      <w:r>
        <w:rPr/>
        <w:t>Mediterranean rivers are especially sensitive to climate change because they have species poor communities and a natural period of drought/desiccation. Climate change predictions suggest drying of upper reaches is becoming more frequent with the increasing risk of local species extinctions with unknown consequences at the metacommunity level for ecosystem functions. There are a limited number of studies addressing extinction risk in large freshwater basins under Mediterranean conditions. There is also uncertainty about the main mechanisms and their combination that might be driving extinction risk in these communities. Studies addressing the effect of multiple threats on species extinctions simultaneously are even more rare. Data driven simulation tools are needed to identify areas at risk. In this way, management measures can be more efficiently implemented, e.g., exotic spp eradication/management, buffering areas to allow for range expansions of native and endemic species and selection of areas of enhanced monitoring/protection.</w:t>
      </w:r>
    </w:p>
    <w:p>
      <w:pPr>
        <w:pStyle w:val="Heading4"/>
        <w:jc w:val="both"/>
        <w:rPr/>
      </w:pPr>
      <w:r>
        <w:rPr/>
        <w:t>Aims</w:t>
      </w:r>
    </w:p>
    <w:p>
      <w:pPr>
        <w:pStyle w:val="Compact"/>
        <w:numPr>
          <w:ilvl w:val="0"/>
          <w:numId w:val="1"/>
        </w:numPr>
        <w:jc w:val="both"/>
        <w:rPr/>
      </w:pPr>
      <w:r>
        <w:rPr/>
        <w:t>Using large empirical metacommunity dataset (Figure 1), we will model extinction risk varying with topography across the basin (intermediate disturbance – altitudinal trends). We will model several threats simultaneously, exotic species, fragmentation (reservoirs) and anthropogenic land uses as the main constraints to species persistence.</w:t>
      </w:r>
    </w:p>
    <w:p>
      <w:pPr>
        <w:pStyle w:val="Compact"/>
        <w:numPr>
          <w:ilvl w:val="0"/>
          <w:numId w:val="1"/>
        </w:numPr>
        <w:jc w:val="both"/>
        <w:rPr/>
      </w:pPr>
      <w:r>
        <w:rPr/>
        <w:t>We will combine exotic species and climate change-driven desiccation as factors influencing native and endemic species range dynamics and extinction risk (Figure 2).</w:t>
      </w:r>
    </w:p>
    <w:p>
      <w:pPr>
        <w:pStyle w:val="Compact"/>
        <w:numPr>
          <w:ilvl w:val="0"/>
          <w:numId w:val="1"/>
        </w:numPr>
        <w:jc w:val="both"/>
        <w:rPr/>
      </w:pPr>
      <w:r>
        <w:rPr/>
        <w:t xml:space="preserve">We will </w:t>
      </w:r>
      <w:bookmarkStart w:id="0" w:name="introduction"/>
      <w:bookmarkStart w:id="1" w:name="aims"/>
      <w:r>
        <w:rPr/>
        <w:t>provide a user-friendly tool accounting for spatially-explicit modeling allowing practitioners and stakeholders to explore extinction risks scenarios in the Guadalquivir and other Mediterranean basins</w:t>
      </w:r>
      <w:bookmarkEnd w:id="0"/>
      <w:bookmarkEnd w:id="1"/>
      <w:r>
        <w:rPr/>
        <w:t>.</w:t>
      </w:r>
    </w:p>
    <w:p>
      <w:pPr>
        <w:pStyle w:val="Heading3"/>
        <w:jc w:val="both"/>
        <w:rPr/>
      </w:pPr>
      <w:r>
        <w:rPr/>
        <w:t>Methods</w:t>
      </w:r>
    </w:p>
    <w:p>
      <w:pPr>
        <w:pStyle w:val="ImageCaption"/>
        <w:jc w:val="both"/>
        <w:rPr/>
      </w:pPr>
      <w:r>
        <w:rPr/>
      </w:r>
    </w:p>
    <w:p>
      <w:pPr>
        <w:pStyle w:val="ImageCaption"/>
        <w:jc w:val="both"/>
        <w:rPr>
          <w:color w:val="5983B0"/>
        </w:rPr>
      </w:pPr>
      <w:r>
        <w:rPr>
          <w:color w:val="5983B0"/>
        </w:rPr>
        <w:t>Data and empirical patterns</w:t>
      </w:r>
    </w:p>
    <w:p>
      <w:pPr>
        <w:pStyle w:val="ImageCaption"/>
        <w:jc w:val="both"/>
        <w:rPr/>
      </w:pPr>
      <w:r>
        <w:rPr/>
        <w:drawing>
          <wp:anchor behindDoc="0" distT="0" distB="0" distL="0" distR="0" simplePos="0" locked="0" layoutInCell="0" allowOverlap="1" relativeHeight="2">
            <wp:simplePos x="0" y="0"/>
            <wp:positionH relativeFrom="column">
              <wp:posOffset>450215</wp:posOffset>
            </wp:positionH>
            <wp:positionV relativeFrom="paragraph">
              <wp:posOffset>97790</wp:posOffset>
            </wp:positionV>
            <wp:extent cx="5043805" cy="35591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43805" cy="3559175"/>
                    </a:xfrm>
                    <a:prstGeom prst="rect">
                      <a:avLst/>
                    </a:prstGeom>
                  </pic:spPr>
                </pic:pic>
              </a:graphicData>
            </a:graphic>
          </wp:anchor>
        </w:drawing>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pPr>
      <w:r>
        <w:rPr/>
      </w:r>
    </w:p>
    <w:p>
      <w:pPr>
        <w:pStyle w:val="ImageCaption"/>
        <w:jc w:val="both"/>
        <w:rPr>
          <w:sz w:val="20"/>
          <w:szCs w:val="20"/>
        </w:rPr>
      </w:pPr>
      <w:r>
        <w:rPr>
          <w:sz w:val="20"/>
          <w:szCs w:val="20"/>
        </w:rPr>
      </w:r>
    </w:p>
    <w:p>
      <w:pPr>
        <w:pStyle w:val="ImageCaption"/>
        <w:jc w:val="both"/>
        <w:rPr/>
      </w:pPr>
      <w:r>
        <w:rPr>
          <w:sz w:val="20"/>
          <w:szCs w:val="20"/>
        </w:rPr>
        <w:t xml:space="preserve">Figure 1: Sampled sites in the Guadalquivir basin (red). Colored stripes in  the background represent  the selected </w:t>
      </w:r>
    </w:p>
    <w:p>
      <w:pPr>
        <w:pStyle w:val="ImageCaption"/>
        <w:jc w:val="both"/>
        <w:rPr/>
      </w:pPr>
      <w:r>
        <w:rPr>
          <w:sz w:val="20"/>
          <w:szCs w:val="20"/>
        </w:rPr>
        <w:t>sampled sites for the density plot in Figure 2.</w:t>
      </w:r>
      <w:r>
        <w:rPr/>
        <w:t xml:space="preserve"> </w:t>
      </w:r>
    </w:p>
    <w:p>
      <w:pPr>
        <w:pStyle w:val="ImageCaption"/>
        <w:jc w:val="both"/>
        <w:rPr/>
      </w:pPr>
      <w:r>
        <w:rPr/>
      </w:r>
    </w:p>
    <w:p>
      <w:pPr>
        <w:pStyle w:val="CaptionedFigure"/>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398010" cy="30194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98010" cy="3019425"/>
                    </a:xfrm>
                    <a:prstGeom prst="rect">
                      <a:avLst/>
                    </a:prstGeom>
                  </pic:spPr>
                </pic:pic>
              </a:graphicData>
            </a:graphic>
          </wp:anchor>
        </w:drawing>
      </w:r>
    </w:p>
    <w:p>
      <w:pPr>
        <w:pStyle w:val="ImageCaption"/>
        <w:jc w:val="both"/>
        <w:rPr/>
      </w:pPr>
      <w:r>
        <w:rPr/>
      </w:r>
    </w:p>
    <w:p>
      <w:pPr>
        <w:pStyle w:val="Heading4"/>
        <w:jc w:val="both"/>
        <w:rPr/>
      </w:pPr>
      <w:r>
        <w:rPr/>
      </w:r>
    </w:p>
    <w:p>
      <w:pPr>
        <w:pStyle w:val="Heading4"/>
        <w:jc w:val="both"/>
        <w:rPr>
          <w:color w:val="000000"/>
        </w:rPr>
      </w:pPr>
      <w:r>
        <w:rPr>
          <w:color w:val="000000"/>
        </w:rPr>
      </w:r>
    </w:p>
    <w:p>
      <w:pPr>
        <w:pStyle w:val="Heading4"/>
        <w:jc w:val="both"/>
        <w:rPr>
          <w:color w:val="000000"/>
        </w:rPr>
      </w:pPr>
      <w:r>
        <w:rPr>
          <w:color w:val="000000"/>
        </w:rPr>
      </w:r>
    </w:p>
    <w:p>
      <w:pPr>
        <w:pStyle w:val="Heading4"/>
        <w:jc w:val="both"/>
        <w:rPr>
          <w:color w:val="000000"/>
        </w:rPr>
      </w:pPr>
      <w:r>
        <w:rPr>
          <w:color w:val="000000"/>
        </w:rPr>
      </w:r>
    </w:p>
    <w:p>
      <w:pPr>
        <w:pStyle w:val="Heading4"/>
        <w:jc w:val="both"/>
        <w:rPr>
          <w:color w:val="000000"/>
        </w:rPr>
      </w:pPr>
      <w:r>
        <w:rPr>
          <w:color w:val="000000"/>
        </w:rPr>
      </w:r>
    </w:p>
    <w:p>
      <w:pPr>
        <w:pStyle w:val="Heading4"/>
        <w:jc w:val="both"/>
        <w:rPr>
          <w:color w:val="000000"/>
        </w:rPr>
      </w:pPr>
      <w:r>
        <w:rPr>
          <w:color w:val="000000"/>
        </w:rPr>
      </w:r>
    </w:p>
    <w:p>
      <w:pPr>
        <w:pStyle w:val="Heading4"/>
        <w:jc w:val="both"/>
        <w:rPr>
          <w:color w:val="000000"/>
        </w:rPr>
      </w:pPr>
      <w:r>
        <w:rPr>
          <w:color w:val="000000"/>
        </w:rPr>
      </w:r>
    </w:p>
    <w:p>
      <w:pPr>
        <w:pStyle w:val="Heading4"/>
        <w:jc w:val="both"/>
        <w:rPr>
          <w:color w:val="000000"/>
        </w:rPr>
      </w:pPr>
      <w:r>
        <w:rPr>
          <w:color w:val="000000"/>
        </w:rPr>
      </w:r>
    </w:p>
    <w:p>
      <w:pPr>
        <w:pStyle w:val="Heading4"/>
        <w:jc w:val="both"/>
        <w:rPr>
          <w:sz w:val="20"/>
          <w:szCs w:val="20"/>
        </w:rPr>
      </w:pPr>
      <w:r>
        <w:rPr>
          <w:color w:val="000000"/>
          <w:sz w:val="20"/>
          <w:szCs w:val="20"/>
        </w:rPr>
        <w:t>Figure 2: Density plot as a function of the fraction of native species (x-axis) following vertical stripes in Figure 1.</w:t>
      </w:r>
    </w:p>
    <w:p>
      <w:pPr>
        <w:pStyle w:val="TextBody"/>
        <w:jc w:val="both"/>
        <w:rPr/>
      </w:pPr>
      <w:r>
        <w:rPr/>
      </w:r>
    </w:p>
    <w:p>
      <w:pPr>
        <w:pStyle w:val="Heading4"/>
        <w:jc w:val="both"/>
        <w:rPr/>
      </w:pPr>
      <w:r>
        <w:rPr/>
        <w:t>Extinction probability curves</w:t>
      </w:r>
    </w:p>
    <w:p>
      <w:pPr>
        <w:pStyle w:val="FirstParagraph"/>
        <w:jc w:val="both"/>
        <w:rPr/>
      </w:pPr>
      <w:r>
        <w:rPr/>
        <w:t>Using an existing database of fish communities, habitat characteristics and connectivity of  rivers of the Guadalquivir river basin, we will model extinction probability curves under the influence of different disturbance regimes. We will use a 2-tier approach:</w:t>
      </w:r>
    </w:p>
    <w:p>
      <w:pPr>
        <w:pStyle w:val="Compact"/>
        <w:numPr>
          <w:ilvl w:val="0"/>
          <w:numId w:val="14"/>
        </w:numPr>
        <w:jc w:val="both"/>
        <w:rPr/>
      </w:pPr>
      <w:r>
        <w:rPr/>
        <w:t>Using random spatial longitudinal slices along the basin (Figure 2)</w:t>
      </w:r>
    </w:p>
    <w:p>
      <w:pPr>
        <w:pStyle w:val="Compact"/>
        <w:numPr>
          <w:ilvl w:val="0"/>
          <w:numId w:val="15"/>
        </w:numPr>
        <w:jc w:val="both"/>
        <w:rPr/>
      </w:pPr>
      <w:r>
        <w:rPr/>
        <w:t>Using each watershed as limits for the curves’ extent.</w:t>
      </w:r>
    </w:p>
    <w:p>
      <w:pPr>
        <w:pStyle w:val="FirstParagraph"/>
        <w:jc w:val="both"/>
        <w:rPr/>
      </w:pPr>
      <w:r>
        <w:rPr/>
        <w:t xml:space="preserve">Extinction patterns will be compared between these two patterns, do they differ significantly in extinction patterns? When comparing the spatial slices vs. watershed approach, patterns of greater intra-watershed variability vs. general variability might emerge. </w:t>
      </w:r>
    </w:p>
    <w:p>
      <w:pPr>
        <w:pStyle w:val="TextBody"/>
        <w:jc w:val="both"/>
        <w:rPr/>
      </w:pPr>
      <w:r>
        <w:rPr/>
        <w:t>Calculation of extinction probability curves under the influence of different disturbances.</w:t>
      </w:r>
    </w:p>
    <w:p>
      <w:pPr>
        <w:pStyle w:val="Compact"/>
        <w:numPr>
          <w:ilvl w:val="0"/>
          <w:numId w:val="16"/>
        </w:numPr>
        <w:jc w:val="both"/>
        <w:rPr/>
      </w:pPr>
      <w:r>
        <w:rPr/>
        <w:t>Map of proportion of natives and exotics – Natives/Exotics ratio following SICA map.</w:t>
      </w:r>
    </w:p>
    <w:p>
      <w:pPr>
        <w:pStyle w:val="Compact"/>
        <w:numPr>
          <w:ilvl w:val="0"/>
          <w:numId w:val="17"/>
        </w:numPr>
        <w:jc w:val="both"/>
        <w:rPr/>
      </w:pPr>
      <w:r>
        <w:rPr/>
        <w:t>Proportion of natives profiles across Guadalquivir basin - spatial slices (Figure 2).</w:t>
      </w:r>
    </w:p>
    <w:p>
      <w:pPr>
        <w:pStyle w:val="Compact"/>
        <w:numPr>
          <w:ilvl w:val="0"/>
          <w:numId w:val="18"/>
        </w:numPr>
        <w:jc w:val="both"/>
        <w:rPr/>
      </w:pPr>
      <w:r>
        <w:rPr/>
        <w:t>Probability of extinction curves will be made comparing “spatial slices” and the watershed as a curve limit.</w:t>
      </w:r>
    </w:p>
    <w:p>
      <w:pPr>
        <w:pStyle w:val="Compact"/>
        <w:numPr>
          <w:ilvl w:val="0"/>
          <w:numId w:val="19"/>
        </w:numPr>
        <w:jc w:val="both"/>
        <w:rPr/>
      </w:pPr>
      <w:bookmarkStart w:id="2" w:name="extinction-probability-curves"/>
      <w:r>
        <w:rPr/>
        <w:t>Comparison of extinction probability. Local native extinction peaks around 10% for all random longitudinal slices (Figure 2).</w:t>
      </w:r>
      <w:bookmarkEnd w:id="2"/>
      <w:r>
        <w:rPr/>
        <w:t xml:space="preserve">  Are there specific cold spots, i.e., areas in the basin with high extinction probability?</w:t>
      </w:r>
    </w:p>
    <w:p>
      <w:pPr>
        <w:pStyle w:val="Heading4"/>
        <w:jc w:val="both"/>
        <w:rPr/>
      </w:pPr>
      <w:r>
        <w:rPr/>
        <w:t>Global change s</w:t>
      </w:r>
      <w:bookmarkStart w:id="3" w:name="scenarios"/>
      <w:r>
        <w:rPr/>
        <w:t>cenarios</w:t>
      </w:r>
    </w:p>
    <w:p>
      <w:pPr>
        <w:pStyle w:val="FirstParagraph"/>
        <w:jc w:val="both"/>
        <w:rPr/>
      </w:pPr>
      <w:r>
        <w:rPr/>
        <w:t>We will use the existing data to run dynamic simulations of extinction probability in multiple species assemblages under different scenarios of connectivity (fragmentation driven by reservoirs/fish ladders), influx of exotic species, anthropogenic land uses and climate change, e.g., more severe droughts gradient with elevation. The modeling of multivariate disturbance regimes will follow:</w:t>
      </w:r>
    </w:p>
    <w:p>
      <w:pPr>
        <w:pStyle w:val="Compact"/>
        <w:numPr>
          <w:ilvl w:val="0"/>
          <w:numId w:val="20"/>
        </w:numPr>
        <w:jc w:val="both"/>
        <w:rPr/>
      </w:pPr>
      <w:r>
        <w:rPr/>
        <w:t>Dendritic fragmentation accounting for connectivity and reservoirs</w:t>
      </w:r>
    </w:p>
    <w:p>
      <w:pPr>
        <w:pStyle w:val="Compact"/>
        <w:numPr>
          <w:ilvl w:val="0"/>
          <w:numId w:val="21"/>
        </w:numPr>
        <w:jc w:val="both"/>
        <w:rPr/>
      </w:pPr>
      <w:r>
        <w:rPr/>
        <w:t>Dynamics of exotic species and responses to invasion by endemic and native species</w:t>
      </w:r>
    </w:p>
    <w:p>
      <w:pPr>
        <w:pStyle w:val="Compact"/>
        <w:numPr>
          <w:ilvl w:val="0"/>
          <w:numId w:val="22"/>
        </w:numPr>
        <w:jc w:val="both"/>
        <w:rPr/>
      </w:pPr>
      <w:r>
        <w:rPr/>
        <w:t>Climate change driven by increased drought, desiccation, narrower channel width, and habitat loss.</w:t>
      </w:r>
    </w:p>
    <w:p>
      <w:pPr>
        <w:pStyle w:val="Compact"/>
        <w:numPr>
          <w:ilvl w:val="0"/>
          <w:numId w:val="23"/>
        </w:numPr>
        <w:spacing w:before="36" w:after="36"/>
        <w:jc w:val="both"/>
        <w:rPr/>
      </w:pPr>
      <w:bookmarkStart w:id="4" w:name="guadex-proposal"/>
      <w:bookmarkStart w:id="5" w:name="methods"/>
      <w:r>
        <w:rPr/>
        <w:t>Increases in anthrop</w:t>
      </w:r>
    </w:p>
    <w:p>
      <w:pPr>
        <w:pStyle w:val="Compact"/>
        <w:numPr>
          <w:ilvl w:val="0"/>
          <w:numId w:val="24"/>
        </w:numPr>
        <w:spacing w:before="36" w:after="36"/>
        <w:jc w:val="both"/>
        <w:rPr/>
      </w:pPr>
      <w:bookmarkStart w:id="6" w:name="guadex-proposal"/>
      <w:bookmarkStart w:id="7" w:name="methods"/>
      <w:r>
        <w:rPr/>
        <w:t>ogenic land use changes. We will use gradient of anthropic uses from CCA combined with the “sensibility” of each species to this type of disturbance.</w:t>
      </w:r>
      <w:bookmarkEnd w:id="3"/>
      <w:bookmarkEnd w:id="6"/>
      <w:bookmarkEnd w:id="7"/>
    </w:p>
    <w:p>
      <w:pPr>
        <w:pStyle w:val="Compact"/>
        <w:spacing w:before="36" w:after="36"/>
        <w:jc w:val="both"/>
        <w:rPr/>
      </w:pPr>
      <w:r>
        <w:rPr/>
      </w:r>
    </w:p>
    <w:p>
      <w:pPr>
        <w:pStyle w:val="Heading3"/>
        <w:rPr>
          <w:color w:val="B4C7DC"/>
        </w:rPr>
      </w:pPr>
      <w:r>
        <w:rPr>
          <w:color w:val="B4C7DC"/>
        </w:rPr>
        <w:t>Platform for knowledge transfer</w:t>
      </w:r>
    </w:p>
    <w:p>
      <w:pPr>
        <w:pStyle w:val="Normal"/>
        <w:spacing w:before="36" w:after="36"/>
        <w:jc w:val="both"/>
        <w:rPr/>
      </w:pPr>
      <w:r>
        <w:rPr/>
        <w:t>The overall research will be tracked via a git repository with a final interface ready to visualize all the steps of the results, i.e.,  extinction probability maps as well as population size-distribution under varying global change scenarios. The software will be the core product for the reporting for optimizing knowledge transfer to practice and management during the period of the project, i.e., results from the reports will be generated via this interface.</w:t>
      </w:r>
    </w:p>
    <w:p>
      <w:pPr>
        <w:pStyle w:val="Normal"/>
        <w:spacing w:before="36" w:after="36"/>
        <w:jc w:val="both"/>
        <w:rPr/>
      </w:pPr>
      <w:r>
        <w:rPr/>
      </w:r>
    </w:p>
    <w:p>
      <w:pPr>
        <w:pStyle w:val="Heading2"/>
        <w:rPr>
          <w:color w:val="B4C7DC"/>
          <w:sz w:val="24"/>
          <w:szCs w:val="24"/>
        </w:rPr>
      </w:pPr>
      <w:r>
        <w:rPr>
          <w:color w:val="B4C7DC"/>
          <w:sz w:val="24"/>
          <w:szCs w:val="24"/>
        </w:rPr>
        <w:t>Budget and timeline</w:t>
      </w:r>
    </w:p>
    <w:p>
      <w:pPr>
        <w:pStyle w:val="Normal"/>
        <w:rPr/>
      </w:pPr>
      <w:r>
        <w:rPr/>
        <w:t xml:space="preserve">The project is planned to run from the fall 2023 until fall 2024 (1 year). It includes 1 year of a computer scientist to develop, implement, run, explore the robustness of the scenarios and the development of the software interface for knowledge transfer.  </w:t>
      </w:r>
    </w:p>
    <w:p>
      <w:pPr>
        <w:pStyle w:val="Normal"/>
        <w:rPr/>
      </w:pPr>
      <w:r>
        <w:rPr/>
      </w:r>
    </w:p>
    <w:tbl>
      <w:tblPr>
        <w:tblW w:w="5000" w:type="pct"/>
        <w:jc w:val="left"/>
        <w:tblInd w:w="0" w:type="dxa"/>
        <w:tblLayout w:type="fixed"/>
        <w:tblCellMar>
          <w:top w:w="0" w:type="dxa"/>
          <w:left w:w="0" w:type="dxa"/>
          <w:bottom w:w="0" w:type="dxa"/>
          <w:right w:w="0" w:type="dxa"/>
        </w:tblCellMar>
      </w:tblPr>
      <w:tblGrid>
        <w:gridCol w:w="1710"/>
        <w:gridCol w:w="1919"/>
        <w:gridCol w:w="1185"/>
        <w:gridCol w:w="1606"/>
        <w:gridCol w:w="1604"/>
        <w:gridCol w:w="1605"/>
      </w:tblGrid>
      <w:tr>
        <w:trPr>
          <w:trHeight w:val="504" w:hRule="exact"/>
        </w:trPr>
        <w:tc>
          <w:tcPr>
            <w:tcW w:w="1710" w:type="dxa"/>
            <w:tcBorders/>
          </w:tcPr>
          <w:p>
            <w:pPr>
              <w:pStyle w:val="TableContents"/>
              <w:widowControl w:val="false"/>
              <w:spacing w:before="0" w:after="200"/>
              <w:jc w:val="center"/>
              <w:rPr>
                <w:b/>
                <w:b/>
                <w:bCs/>
                <w:sz w:val="0"/>
                <w:szCs w:val="0"/>
              </w:rPr>
            </w:pPr>
            <w:r>
              <w:rPr>
                <w:b/>
                <w:bCs/>
                <w:sz w:val="0"/>
                <w:szCs w:val="0"/>
              </w:rPr>
              <w:t>Item</w:t>
            </w:r>
          </w:p>
        </w:tc>
        <w:tc>
          <w:tcPr>
            <w:tcW w:w="1919" w:type="dxa"/>
            <w:tcBorders/>
          </w:tcPr>
          <w:p>
            <w:pPr>
              <w:pStyle w:val="TableContents"/>
              <w:widowControl w:val="false"/>
              <w:spacing w:before="0" w:after="200"/>
              <w:jc w:val="left"/>
              <w:rPr>
                <w:b/>
                <w:b/>
                <w:bCs/>
                <w:sz w:val="0"/>
                <w:szCs w:val="0"/>
              </w:rPr>
            </w:pPr>
            <w:r>
              <w:rPr>
                <w:b/>
                <w:bCs/>
                <w:sz w:val="0"/>
                <w:szCs w:val="0"/>
              </w:rPr>
              <w:t>Description</w:t>
            </w:r>
          </w:p>
        </w:tc>
        <w:tc>
          <w:tcPr>
            <w:tcW w:w="1185" w:type="dxa"/>
            <w:tcBorders/>
          </w:tcPr>
          <w:p>
            <w:pPr>
              <w:pStyle w:val="TableContents"/>
              <w:widowControl w:val="false"/>
              <w:spacing w:before="0" w:after="200"/>
              <w:jc w:val="center"/>
              <w:rPr>
                <w:b/>
                <w:b/>
                <w:bCs/>
                <w:sz w:val="0"/>
                <w:szCs w:val="0"/>
              </w:rPr>
            </w:pPr>
            <w:r>
              <w:rPr>
                <w:b/>
                <w:bCs/>
                <w:sz w:val="0"/>
                <w:szCs w:val="0"/>
              </w:rPr>
              <w:t>Number</w:t>
            </w:r>
          </w:p>
        </w:tc>
        <w:tc>
          <w:tcPr>
            <w:tcW w:w="1606" w:type="dxa"/>
            <w:tcBorders/>
          </w:tcPr>
          <w:p>
            <w:pPr>
              <w:pStyle w:val="TableContents"/>
              <w:widowControl w:val="false"/>
              <w:spacing w:before="0" w:after="200"/>
              <w:jc w:val="center"/>
              <w:rPr>
                <w:b/>
                <w:b/>
                <w:bCs/>
                <w:sz w:val="0"/>
                <w:szCs w:val="0"/>
              </w:rPr>
            </w:pPr>
            <w:r>
              <w:rPr>
                <w:b/>
                <w:bCs/>
                <w:sz w:val="0"/>
                <w:szCs w:val="0"/>
              </w:rPr>
              <w:t>Cost</w:t>
            </w:r>
          </w:p>
        </w:tc>
        <w:tc>
          <w:tcPr>
            <w:tcW w:w="1604" w:type="dxa"/>
            <w:tcBorders/>
          </w:tcPr>
          <w:p>
            <w:pPr>
              <w:pStyle w:val="TableContents"/>
              <w:widowControl w:val="false"/>
              <w:spacing w:before="0" w:after="200"/>
              <w:jc w:val="center"/>
              <w:rPr>
                <w:b/>
                <w:b/>
                <w:bCs/>
                <w:sz w:val="0"/>
                <w:szCs w:val="0"/>
              </w:rPr>
            </w:pPr>
            <w:r>
              <w:rPr>
                <w:b/>
                <w:bCs/>
                <w:sz w:val="0"/>
                <w:szCs w:val="0"/>
              </w:rPr>
              <w:t>Total (EUR)</w:t>
            </w:r>
          </w:p>
        </w:tc>
        <w:tc>
          <w:tcPr>
            <w:tcW w:w="1605" w:type="dxa"/>
            <w:tcBorders/>
          </w:tcPr>
          <w:p>
            <w:pPr>
              <w:pStyle w:val="TableContents"/>
              <w:widowControl w:val="false"/>
              <w:spacing w:before="0" w:after="200"/>
              <w:jc w:val="center"/>
              <w:rPr>
                <w:b/>
                <w:b/>
                <w:bCs/>
                <w:sz w:val="0"/>
                <w:szCs w:val="0"/>
              </w:rPr>
            </w:pPr>
            <w:r>
              <w:rPr>
                <w:b/>
                <w:bCs/>
                <w:sz w:val="0"/>
                <w:szCs w:val="0"/>
              </w:rPr>
              <w:t>Observations</w:t>
            </w:r>
          </w:p>
        </w:tc>
      </w:tr>
      <w:tr>
        <w:trPr>
          <w:trHeight w:val="504" w:hRule="exact"/>
        </w:trPr>
        <w:tc>
          <w:tcPr>
            <w:tcW w:w="1710" w:type="dxa"/>
            <w:tcBorders/>
          </w:tcPr>
          <w:p>
            <w:pPr>
              <w:pStyle w:val="TableContents"/>
              <w:widowControl w:val="false"/>
              <w:spacing w:before="0" w:after="200"/>
              <w:jc w:val="center"/>
              <w:rPr>
                <w:sz w:val="18"/>
                <w:szCs w:val="18"/>
              </w:rPr>
            </w:pPr>
            <w:r>
              <w:rPr>
                <w:sz w:val="18"/>
                <w:szCs w:val="18"/>
              </w:rPr>
              <w:t>Computer scientist</w:t>
            </w:r>
          </w:p>
        </w:tc>
        <w:tc>
          <w:tcPr>
            <w:tcW w:w="1919" w:type="dxa"/>
            <w:tcBorders/>
          </w:tcPr>
          <w:p>
            <w:pPr>
              <w:pStyle w:val="TableContents"/>
              <w:widowControl w:val="false"/>
              <w:spacing w:before="0" w:after="200"/>
              <w:jc w:val="left"/>
              <w:rPr>
                <w:sz w:val="18"/>
                <w:szCs w:val="18"/>
              </w:rPr>
            </w:pPr>
            <w:r>
              <w:rPr>
                <w:sz w:val="18"/>
                <w:szCs w:val="18"/>
              </w:rPr>
              <w:t>Developing codes in Julia comp. language</w:t>
            </w:r>
          </w:p>
        </w:tc>
        <w:tc>
          <w:tcPr>
            <w:tcW w:w="1185" w:type="dxa"/>
            <w:tcBorders/>
          </w:tcPr>
          <w:p>
            <w:pPr>
              <w:pStyle w:val="TableContents"/>
              <w:widowControl w:val="false"/>
              <w:spacing w:before="0" w:after="200"/>
              <w:jc w:val="center"/>
              <w:rPr>
                <w:sz w:val="18"/>
                <w:szCs w:val="18"/>
              </w:rPr>
            </w:pPr>
            <w:r>
              <w:rPr>
                <w:sz w:val="18"/>
                <w:szCs w:val="18"/>
              </w:rPr>
              <w:t>6</w:t>
            </w:r>
            <w:r>
              <w:rPr>
                <w:sz w:val="18"/>
                <w:szCs w:val="18"/>
              </w:rPr>
              <w:t xml:space="preserve"> months</w:t>
            </w:r>
          </w:p>
        </w:tc>
        <w:tc>
          <w:tcPr>
            <w:tcW w:w="1606" w:type="dxa"/>
            <w:tcBorders/>
          </w:tcPr>
          <w:p>
            <w:pPr>
              <w:pStyle w:val="TableContents"/>
              <w:widowControl w:val="false"/>
              <w:jc w:val="center"/>
              <w:rPr>
                <w:sz w:val="18"/>
                <w:szCs w:val="18"/>
              </w:rPr>
            </w:pPr>
            <w:r>
              <w:rPr>
                <w:sz w:val="18"/>
                <w:szCs w:val="18"/>
              </w:rPr>
              <w:t>Hours</w:t>
            </w:r>
          </w:p>
          <w:p>
            <w:pPr>
              <w:pStyle w:val="TableContents"/>
              <w:widowControl w:val="false"/>
              <w:jc w:val="center"/>
              <w:rPr>
                <w:sz w:val="18"/>
                <w:szCs w:val="18"/>
              </w:rPr>
            </w:pPr>
            <w:r>
              <w:rPr>
                <w:sz w:val="18"/>
                <w:szCs w:val="18"/>
              </w:rPr>
            </w:r>
          </w:p>
          <w:p>
            <w:pPr>
              <w:pStyle w:val="TableContents"/>
              <w:widowControl w:val="false"/>
              <w:jc w:val="center"/>
              <w:rPr>
                <w:sz w:val="18"/>
                <w:szCs w:val="18"/>
              </w:rPr>
            </w:pPr>
            <w:r>
              <w:rPr>
                <w:sz w:val="18"/>
                <w:szCs w:val="18"/>
              </w:rPr>
            </w:r>
          </w:p>
          <w:p>
            <w:pPr>
              <w:pStyle w:val="TableContents"/>
              <w:widowControl w:val="false"/>
              <w:jc w:val="center"/>
              <w:rPr>
                <w:sz w:val="18"/>
                <w:szCs w:val="18"/>
              </w:rPr>
            </w:pPr>
            <w:r>
              <w:rPr>
                <w:sz w:val="18"/>
                <w:szCs w:val="18"/>
              </w:rPr>
            </w:r>
          </w:p>
          <w:p>
            <w:pPr>
              <w:pStyle w:val="TableContents"/>
              <w:widowControl w:val="false"/>
              <w:spacing w:before="0" w:after="200"/>
              <w:jc w:val="center"/>
              <w:rPr>
                <w:sz w:val="18"/>
                <w:szCs w:val="18"/>
              </w:rPr>
            </w:pPr>
            <w:r>
              <w:rPr>
                <w:sz w:val="18"/>
                <w:szCs w:val="18"/>
              </w:rPr>
            </w:r>
          </w:p>
        </w:tc>
        <w:tc>
          <w:tcPr>
            <w:tcW w:w="1604" w:type="dxa"/>
            <w:tcBorders/>
          </w:tcPr>
          <w:p>
            <w:pPr>
              <w:pStyle w:val="TableContents"/>
              <w:widowControl w:val="false"/>
              <w:spacing w:before="0" w:after="200"/>
              <w:jc w:val="center"/>
              <w:rPr>
                <w:sz w:val="20"/>
                <w:szCs w:val="20"/>
              </w:rPr>
            </w:pPr>
            <w:r>
              <w:rPr>
                <w:sz w:val="20"/>
                <w:szCs w:val="20"/>
              </w:rPr>
              <w:t>15k</w:t>
            </w:r>
          </w:p>
        </w:tc>
        <w:tc>
          <w:tcPr>
            <w:tcW w:w="1605" w:type="dxa"/>
            <w:tcBorders/>
          </w:tcPr>
          <w:p>
            <w:pPr>
              <w:pStyle w:val="TableContents"/>
              <w:widowControl w:val="false"/>
              <w:spacing w:before="0" w:after="200"/>
              <w:jc w:val="left"/>
              <w:rPr>
                <w:sz w:val="20"/>
                <w:szCs w:val="20"/>
              </w:rPr>
            </w:pPr>
            <w:r>
              <w:rPr>
                <w:sz w:val="20"/>
                <w:szCs w:val="20"/>
              </w:rPr>
            </w:r>
          </w:p>
        </w:tc>
      </w:tr>
      <w:tr>
        <w:trPr>
          <w:trHeight w:val="504" w:hRule="exact"/>
        </w:trPr>
        <w:tc>
          <w:tcPr>
            <w:tcW w:w="1710" w:type="dxa"/>
            <w:tcBorders/>
          </w:tcPr>
          <w:p>
            <w:pPr>
              <w:pStyle w:val="TableContents"/>
              <w:widowControl w:val="false"/>
              <w:spacing w:before="0" w:after="200"/>
              <w:jc w:val="center"/>
              <w:rPr>
                <w:sz w:val="18"/>
                <w:szCs w:val="18"/>
              </w:rPr>
            </w:pPr>
            <w:r>
              <w:rPr>
                <w:sz w:val="18"/>
                <w:szCs w:val="18"/>
              </w:rPr>
              <w:t>Computer scientist</w:t>
            </w:r>
          </w:p>
        </w:tc>
        <w:tc>
          <w:tcPr>
            <w:tcW w:w="1919" w:type="dxa"/>
            <w:tcBorders/>
          </w:tcPr>
          <w:p>
            <w:pPr>
              <w:pStyle w:val="TableContents"/>
              <w:widowControl w:val="false"/>
              <w:spacing w:before="0" w:after="200"/>
              <w:jc w:val="left"/>
              <w:rPr>
                <w:sz w:val="18"/>
                <w:szCs w:val="18"/>
              </w:rPr>
            </w:pPr>
            <w:r>
              <w:rPr>
                <w:sz w:val="18"/>
                <w:szCs w:val="18"/>
              </w:rPr>
              <w:t>Maintenance git repository</w:t>
            </w:r>
          </w:p>
        </w:tc>
        <w:tc>
          <w:tcPr>
            <w:tcW w:w="1185" w:type="dxa"/>
            <w:tcBorders/>
          </w:tcPr>
          <w:p>
            <w:pPr>
              <w:pStyle w:val="TableContents"/>
              <w:widowControl w:val="false"/>
              <w:spacing w:before="0" w:after="200"/>
              <w:jc w:val="center"/>
              <w:rPr>
                <w:sz w:val="18"/>
                <w:szCs w:val="18"/>
              </w:rPr>
            </w:pPr>
            <w:r>
              <w:rPr>
                <w:sz w:val="18"/>
                <w:szCs w:val="18"/>
              </w:rPr>
              <w:t>Full year</w:t>
            </w:r>
          </w:p>
        </w:tc>
        <w:tc>
          <w:tcPr>
            <w:tcW w:w="1606" w:type="dxa"/>
            <w:tcBorders/>
          </w:tcPr>
          <w:p>
            <w:pPr>
              <w:pStyle w:val="TableContents"/>
              <w:widowControl w:val="false"/>
              <w:spacing w:before="0" w:after="200"/>
              <w:jc w:val="center"/>
              <w:rPr>
                <w:sz w:val="18"/>
                <w:szCs w:val="18"/>
              </w:rPr>
            </w:pPr>
            <w:r>
              <w:rPr>
                <w:sz w:val="18"/>
                <w:szCs w:val="18"/>
              </w:rPr>
              <w:t>Hours</w:t>
            </w:r>
          </w:p>
        </w:tc>
        <w:tc>
          <w:tcPr>
            <w:tcW w:w="1604" w:type="dxa"/>
            <w:tcBorders/>
          </w:tcPr>
          <w:p>
            <w:pPr>
              <w:pStyle w:val="TableContents"/>
              <w:widowControl w:val="false"/>
              <w:spacing w:before="0" w:after="200"/>
              <w:jc w:val="center"/>
              <w:rPr>
                <w:sz w:val="20"/>
                <w:szCs w:val="20"/>
              </w:rPr>
            </w:pPr>
            <w:r>
              <w:rPr>
                <w:sz w:val="20"/>
                <w:szCs w:val="20"/>
              </w:rPr>
              <w:t>3k</w:t>
            </w:r>
          </w:p>
        </w:tc>
        <w:tc>
          <w:tcPr>
            <w:tcW w:w="1605" w:type="dxa"/>
            <w:tcBorders/>
          </w:tcPr>
          <w:p>
            <w:pPr>
              <w:pStyle w:val="TableContents"/>
              <w:widowControl w:val="false"/>
              <w:spacing w:before="0" w:after="200"/>
              <w:jc w:val="left"/>
              <w:rPr>
                <w:sz w:val="20"/>
                <w:szCs w:val="20"/>
              </w:rPr>
            </w:pPr>
            <w:r>
              <w:rPr>
                <w:sz w:val="20"/>
                <w:szCs w:val="20"/>
              </w:rPr>
            </w:r>
          </w:p>
        </w:tc>
      </w:tr>
      <w:tr>
        <w:trPr>
          <w:trHeight w:val="504" w:hRule="exact"/>
        </w:trPr>
        <w:tc>
          <w:tcPr>
            <w:tcW w:w="1710" w:type="dxa"/>
            <w:tcBorders/>
          </w:tcPr>
          <w:p>
            <w:pPr>
              <w:pStyle w:val="TableContents"/>
              <w:widowControl w:val="false"/>
              <w:spacing w:before="0" w:after="200"/>
              <w:jc w:val="center"/>
              <w:rPr>
                <w:sz w:val="18"/>
                <w:szCs w:val="18"/>
              </w:rPr>
            </w:pPr>
            <w:r>
              <w:rPr>
                <w:sz w:val="18"/>
                <w:szCs w:val="18"/>
              </w:rPr>
              <w:t>Computer scientist</w:t>
            </w:r>
          </w:p>
        </w:tc>
        <w:tc>
          <w:tcPr>
            <w:tcW w:w="1919" w:type="dxa"/>
            <w:tcBorders/>
          </w:tcPr>
          <w:p>
            <w:pPr>
              <w:pStyle w:val="TableContents"/>
              <w:widowControl w:val="false"/>
              <w:spacing w:before="0" w:after="200"/>
              <w:jc w:val="left"/>
              <w:rPr>
                <w:sz w:val="18"/>
                <w:szCs w:val="18"/>
              </w:rPr>
            </w:pPr>
            <w:r>
              <w:rPr>
                <w:sz w:val="18"/>
                <w:szCs w:val="18"/>
              </w:rPr>
              <w:t>Interface for knowledge transfer</w:t>
            </w:r>
          </w:p>
        </w:tc>
        <w:tc>
          <w:tcPr>
            <w:tcW w:w="1185" w:type="dxa"/>
            <w:tcBorders/>
          </w:tcPr>
          <w:p>
            <w:pPr>
              <w:pStyle w:val="TableContents"/>
              <w:widowControl w:val="false"/>
              <w:spacing w:before="0" w:after="200"/>
              <w:jc w:val="center"/>
              <w:rPr>
                <w:sz w:val="18"/>
                <w:szCs w:val="18"/>
              </w:rPr>
            </w:pPr>
            <w:r>
              <w:rPr>
                <w:sz w:val="18"/>
                <w:szCs w:val="18"/>
              </w:rPr>
              <w:t>4 months</w:t>
            </w:r>
          </w:p>
        </w:tc>
        <w:tc>
          <w:tcPr>
            <w:tcW w:w="1606" w:type="dxa"/>
            <w:tcBorders/>
          </w:tcPr>
          <w:p>
            <w:pPr>
              <w:pStyle w:val="TableContents"/>
              <w:widowControl w:val="false"/>
              <w:spacing w:before="0" w:after="200"/>
              <w:jc w:val="center"/>
              <w:rPr>
                <w:sz w:val="18"/>
                <w:szCs w:val="18"/>
              </w:rPr>
            </w:pPr>
            <w:r>
              <w:rPr>
                <w:sz w:val="18"/>
                <w:szCs w:val="18"/>
              </w:rPr>
              <w:t>Hours</w:t>
            </w:r>
          </w:p>
        </w:tc>
        <w:tc>
          <w:tcPr>
            <w:tcW w:w="1604" w:type="dxa"/>
            <w:tcBorders/>
          </w:tcPr>
          <w:p>
            <w:pPr>
              <w:pStyle w:val="TableContents"/>
              <w:widowControl w:val="false"/>
              <w:spacing w:before="0" w:after="200"/>
              <w:jc w:val="center"/>
              <w:rPr>
                <w:sz w:val="20"/>
                <w:szCs w:val="20"/>
              </w:rPr>
            </w:pPr>
            <w:r>
              <w:rPr>
                <w:sz w:val="20"/>
                <w:szCs w:val="20"/>
              </w:rPr>
              <w:t>10k</w:t>
            </w:r>
          </w:p>
        </w:tc>
        <w:tc>
          <w:tcPr>
            <w:tcW w:w="1605" w:type="dxa"/>
            <w:tcBorders/>
          </w:tcPr>
          <w:p>
            <w:pPr>
              <w:pStyle w:val="TableContents"/>
              <w:widowControl w:val="false"/>
              <w:spacing w:before="0" w:after="200"/>
              <w:jc w:val="left"/>
              <w:rPr>
                <w:sz w:val="20"/>
                <w:szCs w:val="20"/>
              </w:rPr>
            </w:pPr>
            <w:r>
              <w:rPr>
                <w:sz w:val="20"/>
                <w:szCs w:val="20"/>
              </w:rPr>
            </w:r>
          </w:p>
        </w:tc>
      </w:tr>
      <w:tr>
        <w:trPr>
          <w:trHeight w:val="504" w:hRule="exact"/>
        </w:trPr>
        <w:tc>
          <w:tcPr>
            <w:tcW w:w="1710" w:type="dxa"/>
            <w:tcBorders/>
          </w:tcPr>
          <w:p>
            <w:pPr>
              <w:pStyle w:val="TableContents"/>
              <w:widowControl w:val="false"/>
              <w:spacing w:before="0" w:after="200"/>
              <w:jc w:val="center"/>
              <w:rPr>
                <w:sz w:val="18"/>
                <w:szCs w:val="18"/>
              </w:rPr>
            </w:pPr>
            <w:r>
              <w:rPr>
                <w:sz w:val="18"/>
                <w:szCs w:val="18"/>
              </w:rPr>
              <w:t>Computer scientist</w:t>
            </w:r>
          </w:p>
        </w:tc>
        <w:tc>
          <w:tcPr>
            <w:tcW w:w="1919" w:type="dxa"/>
            <w:tcBorders/>
          </w:tcPr>
          <w:p>
            <w:pPr>
              <w:pStyle w:val="TableContents"/>
              <w:widowControl w:val="false"/>
              <w:spacing w:before="0" w:after="200"/>
              <w:jc w:val="left"/>
              <w:rPr>
                <w:sz w:val="18"/>
                <w:szCs w:val="18"/>
              </w:rPr>
            </w:pPr>
            <w:r>
              <w:rPr>
                <w:sz w:val="18"/>
                <w:szCs w:val="18"/>
              </w:rPr>
              <w:t xml:space="preserve"> </w:t>
            </w:r>
            <w:r>
              <w:rPr>
                <w:sz w:val="18"/>
                <w:szCs w:val="18"/>
              </w:rPr>
              <w:t>Simulations, numerical analysis, robustness scenarios</w:t>
            </w:r>
          </w:p>
        </w:tc>
        <w:tc>
          <w:tcPr>
            <w:tcW w:w="1185" w:type="dxa"/>
            <w:tcBorders/>
          </w:tcPr>
          <w:p>
            <w:pPr>
              <w:pStyle w:val="TableContents"/>
              <w:widowControl w:val="false"/>
              <w:spacing w:before="0" w:after="200"/>
              <w:jc w:val="center"/>
              <w:rPr>
                <w:sz w:val="18"/>
                <w:szCs w:val="18"/>
              </w:rPr>
            </w:pPr>
            <w:r>
              <w:rPr>
                <w:sz w:val="18"/>
                <w:szCs w:val="18"/>
              </w:rPr>
              <w:t>5</w:t>
            </w:r>
            <w:r>
              <w:rPr>
                <w:sz w:val="18"/>
                <w:szCs w:val="18"/>
              </w:rPr>
              <w:t xml:space="preserve"> months</w:t>
            </w:r>
          </w:p>
        </w:tc>
        <w:tc>
          <w:tcPr>
            <w:tcW w:w="1606" w:type="dxa"/>
            <w:tcBorders/>
          </w:tcPr>
          <w:p>
            <w:pPr>
              <w:pStyle w:val="TableContents"/>
              <w:widowControl w:val="false"/>
              <w:spacing w:before="0" w:after="200"/>
              <w:jc w:val="center"/>
              <w:rPr>
                <w:sz w:val="18"/>
                <w:szCs w:val="18"/>
              </w:rPr>
            </w:pPr>
            <w:r>
              <w:rPr>
                <w:sz w:val="18"/>
                <w:szCs w:val="18"/>
              </w:rPr>
              <w:t>Hours</w:t>
            </w:r>
          </w:p>
        </w:tc>
        <w:tc>
          <w:tcPr>
            <w:tcW w:w="1604" w:type="dxa"/>
            <w:tcBorders/>
          </w:tcPr>
          <w:p>
            <w:pPr>
              <w:pStyle w:val="TableContents"/>
              <w:widowControl w:val="false"/>
              <w:spacing w:before="0" w:after="200"/>
              <w:jc w:val="center"/>
              <w:rPr>
                <w:sz w:val="20"/>
                <w:szCs w:val="20"/>
              </w:rPr>
            </w:pPr>
            <w:r>
              <w:rPr>
                <w:sz w:val="20"/>
                <w:szCs w:val="20"/>
              </w:rPr>
              <w:t>1</w:t>
            </w:r>
            <w:r>
              <w:rPr>
                <w:sz w:val="20"/>
                <w:szCs w:val="20"/>
              </w:rPr>
              <w:t>2</w:t>
            </w:r>
            <w:r>
              <w:rPr>
                <w:sz w:val="20"/>
                <w:szCs w:val="20"/>
              </w:rPr>
              <w:t>k</w:t>
            </w:r>
          </w:p>
        </w:tc>
        <w:tc>
          <w:tcPr>
            <w:tcW w:w="1605" w:type="dxa"/>
            <w:tcBorders/>
          </w:tcPr>
          <w:p>
            <w:pPr>
              <w:pStyle w:val="TableContents"/>
              <w:widowControl w:val="false"/>
              <w:spacing w:before="0" w:after="200"/>
              <w:jc w:val="left"/>
              <w:rPr>
                <w:sz w:val="20"/>
                <w:szCs w:val="20"/>
              </w:rPr>
            </w:pPr>
            <w:r>
              <w:rPr>
                <w:sz w:val="20"/>
                <w:szCs w:val="20"/>
              </w:rPr>
            </w:r>
          </w:p>
        </w:tc>
      </w:tr>
      <w:tr>
        <w:trPr>
          <w:trHeight w:val="504" w:hRule="exact"/>
        </w:trPr>
        <w:tc>
          <w:tcPr>
            <w:tcW w:w="1710" w:type="dxa"/>
            <w:tcBorders/>
          </w:tcPr>
          <w:p>
            <w:pPr>
              <w:pStyle w:val="TableContents"/>
              <w:widowControl w:val="false"/>
              <w:spacing w:before="0" w:after="200"/>
              <w:jc w:val="center"/>
              <w:rPr>
                <w:sz w:val="18"/>
                <w:szCs w:val="18"/>
              </w:rPr>
            </w:pPr>
            <w:r>
              <w:rPr>
                <w:sz w:val="18"/>
                <w:szCs w:val="18"/>
              </w:rPr>
              <w:t>Data analysis</w:t>
            </w:r>
          </w:p>
        </w:tc>
        <w:tc>
          <w:tcPr>
            <w:tcW w:w="1919" w:type="dxa"/>
            <w:tcBorders/>
          </w:tcPr>
          <w:p>
            <w:pPr>
              <w:pStyle w:val="TableContents"/>
              <w:widowControl w:val="false"/>
              <w:spacing w:before="0" w:after="200"/>
              <w:rPr>
                <w:sz w:val="18"/>
                <w:szCs w:val="18"/>
              </w:rPr>
            </w:pPr>
            <w:r>
              <w:rPr>
                <w:sz w:val="18"/>
                <w:szCs w:val="18"/>
              </w:rPr>
              <w:t>Data analytics, pattern detection, robustness</w:t>
            </w:r>
          </w:p>
        </w:tc>
        <w:tc>
          <w:tcPr>
            <w:tcW w:w="1185" w:type="dxa"/>
            <w:tcBorders/>
          </w:tcPr>
          <w:p>
            <w:pPr>
              <w:pStyle w:val="TableContents"/>
              <w:widowControl w:val="false"/>
              <w:spacing w:before="0" w:after="200"/>
              <w:jc w:val="center"/>
              <w:rPr>
                <w:sz w:val="18"/>
                <w:szCs w:val="18"/>
              </w:rPr>
            </w:pPr>
            <w:r>
              <w:rPr>
                <w:sz w:val="18"/>
                <w:szCs w:val="18"/>
              </w:rPr>
              <w:t>5</w:t>
            </w:r>
            <w:r>
              <w:rPr>
                <w:sz w:val="18"/>
                <w:szCs w:val="18"/>
              </w:rPr>
              <w:t xml:space="preserve"> months</w:t>
            </w:r>
          </w:p>
        </w:tc>
        <w:tc>
          <w:tcPr>
            <w:tcW w:w="1606" w:type="dxa"/>
            <w:tcBorders/>
          </w:tcPr>
          <w:p>
            <w:pPr>
              <w:pStyle w:val="TableContents"/>
              <w:widowControl w:val="false"/>
              <w:spacing w:before="0" w:after="200"/>
              <w:jc w:val="center"/>
              <w:rPr>
                <w:sz w:val="18"/>
                <w:szCs w:val="18"/>
              </w:rPr>
            </w:pPr>
            <w:r>
              <w:rPr>
                <w:sz w:val="18"/>
                <w:szCs w:val="18"/>
              </w:rPr>
              <w:t>Hours</w:t>
            </w:r>
          </w:p>
        </w:tc>
        <w:tc>
          <w:tcPr>
            <w:tcW w:w="1604" w:type="dxa"/>
            <w:tcBorders/>
          </w:tcPr>
          <w:p>
            <w:pPr>
              <w:pStyle w:val="TableContents"/>
              <w:widowControl w:val="false"/>
              <w:spacing w:before="0" w:after="200"/>
              <w:jc w:val="center"/>
              <w:rPr>
                <w:sz w:val="18"/>
                <w:szCs w:val="18"/>
              </w:rPr>
            </w:pPr>
            <w:r>
              <w:rPr>
                <w:sz w:val="18"/>
                <w:szCs w:val="18"/>
              </w:rPr>
              <w:t>1</w:t>
            </w:r>
            <w:r>
              <w:rPr>
                <w:sz w:val="18"/>
                <w:szCs w:val="18"/>
              </w:rPr>
              <w:t>2</w:t>
            </w:r>
            <w:r>
              <w:rPr>
                <w:sz w:val="18"/>
                <w:szCs w:val="18"/>
              </w:rPr>
              <w:t>k</w:t>
            </w:r>
          </w:p>
        </w:tc>
        <w:tc>
          <w:tcPr>
            <w:tcW w:w="1605" w:type="dxa"/>
            <w:tcBorders/>
          </w:tcPr>
          <w:p>
            <w:pPr>
              <w:pStyle w:val="TableContents"/>
              <w:widowControl w:val="false"/>
              <w:spacing w:before="0" w:after="200"/>
              <w:rPr>
                <w:sz w:val="18"/>
                <w:szCs w:val="18"/>
              </w:rPr>
            </w:pPr>
            <w:r>
              <w:rPr>
                <w:sz w:val="18"/>
                <w:szCs w:val="18"/>
              </w:rPr>
            </w:r>
          </w:p>
        </w:tc>
      </w:tr>
      <w:tr>
        <w:trPr>
          <w:trHeight w:val="504" w:hRule="exact"/>
        </w:trPr>
        <w:tc>
          <w:tcPr>
            <w:tcW w:w="1710" w:type="dxa"/>
            <w:tcBorders/>
          </w:tcPr>
          <w:p>
            <w:pPr>
              <w:pStyle w:val="TableContents"/>
              <w:widowControl w:val="false"/>
              <w:spacing w:before="0" w:after="200"/>
              <w:jc w:val="center"/>
              <w:rPr>
                <w:sz w:val="18"/>
                <w:szCs w:val="18"/>
              </w:rPr>
            </w:pPr>
            <w:r>
              <w:rPr>
                <w:sz w:val="18"/>
                <w:szCs w:val="18"/>
              </w:rPr>
              <w:t>Modeling</w:t>
            </w:r>
          </w:p>
        </w:tc>
        <w:tc>
          <w:tcPr>
            <w:tcW w:w="1919" w:type="dxa"/>
            <w:tcBorders/>
          </w:tcPr>
          <w:p>
            <w:pPr>
              <w:pStyle w:val="TableContents"/>
              <w:widowControl w:val="false"/>
              <w:spacing w:before="0" w:after="200"/>
              <w:rPr>
                <w:sz w:val="18"/>
                <w:szCs w:val="18"/>
              </w:rPr>
            </w:pPr>
            <w:r>
              <w:rPr>
                <w:sz w:val="18"/>
                <w:szCs w:val="18"/>
              </w:rPr>
              <w:t xml:space="preserve">Server </w:t>
            </w:r>
            <w:r>
              <w:rPr>
                <w:sz w:val="18"/>
                <w:szCs w:val="18"/>
              </w:rPr>
              <w:t>setup</w:t>
            </w:r>
            <w:r>
              <w:rPr>
                <w:sz w:val="18"/>
                <w:szCs w:val="18"/>
              </w:rPr>
              <w:t>, parallel computing</w:t>
            </w:r>
          </w:p>
        </w:tc>
        <w:tc>
          <w:tcPr>
            <w:tcW w:w="1185" w:type="dxa"/>
            <w:tcBorders/>
          </w:tcPr>
          <w:p>
            <w:pPr>
              <w:pStyle w:val="TableContents"/>
              <w:widowControl w:val="false"/>
              <w:spacing w:before="0" w:after="200"/>
              <w:jc w:val="center"/>
              <w:rPr>
                <w:sz w:val="18"/>
                <w:szCs w:val="18"/>
              </w:rPr>
            </w:pPr>
            <w:r>
              <w:rPr>
                <w:sz w:val="18"/>
                <w:szCs w:val="18"/>
              </w:rPr>
              <w:t>2 months</w:t>
            </w:r>
          </w:p>
        </w:tc>
        <w:tc>
          <w:tcPr>
            <w:tcW w:w="1606" w:type="dxa"/>
            <w:tcBorders/>
          </w:tcPr>
          <w:p>
            <w:pPr>
              <w:pStyle w:val="TableContents"/>
              <w:widowControl w:val="false"/>
              <w:spacing w:before="0" w:after="200"/>
              <w:jc w:val="center"/>
              <w:rPr>
                <w:sz w:val="18"/>
                <w:szCs w:val="18"/>
              </w:rPr>
            </w:pPr>
            <w:r>
              <w:rPr>
                <w:sz w:val="18"/>
                <w:szCs w:val="18"/>
              </w:rPr>
              <w:t>Hours</w:t>
            </w:r>
          </w:p>
        </w:tc>
        <w:tc>
          <w:tcPr>
            <w:tcW w:w="1604" w:type="dxa"/>
            <w:tcBorders/>
          </w:tcPr>
          <w:p>
            <w:pPr>
              <w:pStyle w:val="TableContents"/>
              <w:widowControl w:val="false"/>
              <w:spacing w:before="0" w:after="200"/>
              <w:jc w:val="center"/>
              <w:rPr>
                <w:sz w:val="18"/>
                <w:szCs w:val="18"/>
              </w:rPr>
            </w:pPr>
            <w:r>
              <w:rPr>
                <w:sz w:val="18"/>
                <w:szCs w:val="18"/>
              </w:rPr>
              <w:t>1</w:t>
            </w:r>
            <w:r>
              <w:rPr>
                <w:sz w:val="18"/>
                <w:szCs w:val="18"/>
              </w:rPr>
              <w:t>k</w:t>
            </w:r>
          </w:p>
        </w:tc>
        <w:tc>
          <w:tcPr>
            <w:tcW w:w="1605" w:type="dxa"/>
            <w:tcBorders/>
          </w:tcPr>
          <w:p>
            <w:pPr>
              <w:pStyle w:val="TableContents"/>
              <w:widowControl w:val="false"/>
              <w:spacing w:before="0" w:after="200"/>
              <w:rPr>
                <w:sz w:val="18"/>
                <w:szCs w:val="18"/>
              </w:rPr>
            </w:pPr>
            <w:r>
              <w:rPr>
                <w:sz w:val="18"/>
                <w:szCs w:val="18"/>
              </w:rPr>
            </w:r>
          </w:p>
        </w:tc>
      </w:tr>
      <w:tr>
        <w:trPr>
          <w:trHeight w:val="504" w:hRule="exact"/>
        </w:trPr>
        <w:tc>
          <w:tcPr>
            <w:tcW w:w="1710" w:type="dxa"/>
            <w:tcBorders/>
          </w:tcPr>
          <w:p>
            <w:pPr>
              <w:pStyle w:val="TableContents"/>
              <w:widowControl w:val="false"/>
              <w:spacing w:before="0" w:after="200"/>
              <w:jc w:val="center"/>
              <w:rPr>
                <w:b/>
                <w:b/>
                <w:bCs/>
                <w:sz w:val="20"/>
                <w:szCs w:val="20"/>
              </w:rPr>
            </w:pPr>
            <w:r>
              <w:rPr>
                <w:b/>
                <w:bCs/>
                <w:sz w:val="20"/>
                <w:szCs w:val="20"/>
              </w:rPr>
              <w:t>TOTAL</w:t>
            </w:r>
          </w:p>
        </w:tc>
        <w:tc>
          <w:tcPr>
            <w:tcW w:w="1919" w:type="dxa"/>
            <w:tcBorders/>
          </w:tcPr>
          <w:p>
            <w:pPr>
              <w:pStyle w:val="TableContents"/>
              <w:widowControl w:val="false"/>
              <w:spacing w:before="0" w:after="200"/>
              <w:jc w:val="center"/>
              <w:rPr>
                <w:b/>
                <w:b/>
                <w:bCs/>
                <w:sz w:val="20"/>
                <w:szCs w:val="20"/>
              </w:rPr>
            </w:pPr>
            <w:r>
              <w:rPr>
                <w:b/>
                <w:bCs/>
                <w:sz w:val="20"/>
                <w:szCs w:val="20"/>
              </w:rPr>
            </w:r>
          </w:p>
        </w:tc>
        <w:tc>
          <w:tcPr>
            <w:tcW w:w="1185" w:type="dxa"/>
            <w:tcBorders/>
          </w:tcPr>
          <w:p>
            <w:pPr>
              <w:pStyle w:val="TableContents"/>
              <w:widowControl w:val="false"/>
              <w:spacing w:before="0" w:after="200"/>
              <w:jc w:val="center"/>
              <w:rPr>
                <w:b/>
                <w:b/>
                <w:bCs/>
                <w:sz w:val="20"/>
                <w:szCs w:val="20"/>
              </w:rPr>
            </w:pPr>
            <w:r>
              <w:rPr>
                <w:b/>
                <w:bCs/>
                <w:sz w:val="20"/>
                <w:szCs w:val="20"/>
              </w:rPr>
              <w:t>1 year</w:t>
            </w:r>
          </w:p>
        </w:tc>
        <w:tc>
          <w:tcPr>
            <w:tcW w:w="1606" w:type="dxa"/>
            <w:tcBorders/>
          </w:tcPr>
          <w:p>
            <w:pPr>
              <w:pStyle w:val="TableContents"/>
              <w:widowControl w:val="false"/>
              <w:spacing w:before="0" w:after="200"/>
              <w:jc w:val="center"/>
              <w:rPr>
                <w:b/>
                <w:b/>
                <w:bCs/>
                <w:sz w:val="20"/>
                <w:szCs w:val="20"/>
              </w:rPr>
            </w:pPr>
            <w:r>
              <w:rPr>
                <w:b/>
                <w:bCs/>
                <w:sz w:val="20"/>
                <w:szCs w:val="20"/>
              </w:rPr>
              <w:t>Total hours</w:t>
            </w:r>
          </w:p>
        </w:tc>
        <w:tc>
          <w:tcPr>
            <w:tcW w:w="1604" w:type="dxa"/>
            <w:tcBorders/>
          </w:tcPr>
          <w:p>
            <w:pPr>
              <w:pStyle w:val="TableContents"/>
              <w:widowControl w:val="false"/>
              <w:spacing w:before="0" w:after="200"/>
              <w:jc w:val="center"/>
              <w:rPr>
                <w:b/>
                <w:b/>
                <w:bCs/>
                <w:sz w:val="20"/>
                <w:szCs w:val="20"/>
              </w:rPr>
            </w:pPr>
            <w:r>
              <w:rPr>
                <w:b/>
                <w:bCs/>
                <w:sz w:val="20"/>
                <w:szCs w:val="20"/>
              </w:rPr>
              <w:t>53k</w:t>
            </w:r>
          </w:p>
        </w:tc>
        <w:tc>
          <w:tcPr>
            <w:tcW w:w="1605" w:type="dxa"/>
            <w:tcBorders/>
          </w:tcPr>
          <w:p>
            <w:pPr>
              <w:pStyle w:val="TableContents"/>
              <w:widowControl w:val="false"/>
              <w:spacing w:before="0" w:after="200"/>
              <w:jc w:val="center"/>
              <w:rPr>
                <w:b/>
                <w:b/>
                <w:bCs/>
                <w:sz w:val="20"/>
                <w:szCs w:val="20"/>
              </w:rPr>
            </w:pPr>
            <w:r>
              <w:rPr>
                <w:b/>
                <w:bCs/>
                <w:sz w:val="20"/>
                <w:szCs w:val="20"/>
              </w:rPr>
            </w:r>
          </w:p>
        </w:tc>
      </w:tr>
    </w:tbl>
    <w:p>
      <w:pPr>
        <w:pStyle w:val="Normal"/>
        <w:rPr/>
      </w:pPr>
      <w:r>
        <w:rPr/>
      </w:r>
    </w:p>
    <w:tbl>
      <w:tblPr>
        <w:tblStyle w:val="TableGrid"/>
        <w:tblW w:w="7554" w:type="dxa"/>
        <w:jc w:val="left"/>
        <w:tblInd w:w="-68" w:type="dxa"/>
        <w:tblLayout w:type="fixed"/>
        <w:tblCellMar>
          <w:top w:w="0" w:type="dxa"/>
          <w:left w:w="108" w:type="dxa"/>
          <w:bottom w:w="0" w:type="dxa"/>
          <w:right w:w="108" w:type="dxa"/>
        </w:tblCellMar>
        <w:tblLook w:val="04a0" w:noHBand="0" w:noVBand="1" w:firstColumn="1" w:lastRow="0" w:lastColumn="0" w:firstRow="1"/>
      </w:tblPr>
      <w:tblGrid>
        <w:gridCol w:w="2964"/>
        <w:gridCol w:w="361"/>
        <w:gridCol w:w="308"/>
        <w:gridCol w:w="343"/>
        <w:gridCol w:w="343"/>
        <w:gridCol w:w="344"/>
        <w:gridCol w:w="343"/>
        <w:gridCol w:w="343"/>
        <w:gridCol w:w="344"/>
        <w:gridCol w:w="361"/>
        <w:gridCol w:w="434"/>
        <w:gridCol w:w="524"/>
        <w:gridCol w:w="542"/>
      </w:tblGrid>
      <w:tr>
        <w:trPr>
          <w:trHeight w:val="227" w:hRule="exact"/>
        </w:trPr>
        <w:tc>
          <w:tcPr>
            <w:tcW w:w="2964" w:type="dxa"/>
            <w:vMerge w:val="restart"/>
            <w:tcBorders/>
            <w:shd w:color="auto" w:fill="auto" w:val="clear"/>
            <w:vAlign w:val="center"/>
          </w:tcPr>
          <w:p>
            <w:pPr>
              <w:pStyle w:val="Normal"/>
              <w:widowControl w:val="false"/>
              <w:suppressAutoHyphens w:val="true"/>
              <w:snapToGrid w:val="false"/>
              <w:spacing w:before="0" w:after="0"/>
              <w:jc w:val="left"/>
              <w:rPr>
                <w:b/>
                <w:b/>
                <w:i/>
                <w:i/>
                <w:iCs/>
                <w:sz w:val="18"/>
                <w:szCs w:val="18"/>
              </w:rPr>
            </w:pPr>
            <w:r>
              <w:rPr>
                <w:rFonts w:eastAsia="" w:cs=""/>
                <w:b/>
                <w:i/>
                <w:iCs/>
                <w:kern w:val="0"/>
                <w:sz w:val="18"/>
                <w:szCs w:val="18"/>
                <w:lang w:val="en-US" w:eastAsia="en-US" w:bidi="ar-SA"/>
              </w:rPr>
              <w:t>Objective</w:t>
            </w:r>
            <w:r>
              <w:rPr>
                <w:rFonts w:eastAsia="" w:cs=""/>
                <w:b/>
                <w:kern w:val="0"/>
                <w:sz w:val="18"/>
                <w:szCs w:val="18"/>
                <w:lang w:val="en-US" w:eastAsia="en-US" w:bidi="ar-SA"/>
              </w:rPr>
              <w:t>/activity</w:t>
            </w:r>
          </w:p>
        </w:tc>
        <w:tc>
          <w:tcPr>
            <w:tcW w:w="4590" w:type="dxa"/>
            <w:gridSpan w:val="12"/>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 w:cs=""/>
                <w:b/>
                <w:kern w:val="0"/>
                <w:sz w:val="18"/>
                <w:szCs w:val="18"/>
                <w:lang w:val="en-US" w:eastAsia="en-US" w:bidi="ar-SA"/>
              </w:rPr>
              <w:t>Month</w:t>
            </w:r>
          </w:p>
        </w:tc>
      </w:tr>
      <w:tr>
        <w:trPr>
          <w:trHeight w:val="227" w:hRule="exact"/>
        </w:trPr>
        <w:tc>
          <w:tcPr>
            <w:tcW w:w="2964" w:type="dxa"/>
            <w:vMerge w:val="continue"/>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eastAsiaTheme="minorHAnsi"/>
                <w:b/>
                <w:sz w:val="18"/>
                <w:szCs w:val="18"/>
              </w:rPr>
            </w:r>
          </w:p>
        </w:tc>
        <w:tc>
          <w:tcPr>
            <w:tcW w:w="361"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1</w:t>
            </w:r>
          </w:p>
        </w:tc>
        <w:tc>
          <w:tcPr>
            <w:tcW w:w="308"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2</w:t>
            </w:r>
          </w:p>
        </w:tc>
        <w:tc>
          <w:tcPr>
            <w:tcW w:w="343"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3</w:t>
            </w:r>
          </w:p>
        </w:tc>
        <w:tc>
          <w:tcPr>
            <w:tcW w:w="343"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4</w:t>
            </w:r>
          </w:p>
        </w:tc>
        <w:tc>
          <w:tcPr>
            <w:tcW w:w="344"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5</w:t>
            </w:r>
          </w:p>
        </w:tc>
        <w:tc>
          <w:tcPr>
            <w:tcW w:w="343"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6</w:t>
            </w:r>
          </w:p>
        </w:tc>
        <w:tc>
          <w:tcPr>
            <w:tcW w:w="343"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7</w:t>
            </w:r>
          </w:p>
        </w:tc>
        <w:tc>
          <w:tcPr>
            <w:tcW w:w="344"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8</w:t>
            </w:r>
          </w:p>
        </w:tc>
        <w:tc>
          <w:tcPr>
            <w:tcW w:w="361" w:type="dxa"/>
            <w:tcBorders>
              <w:right w:val="nil"/>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cs="" w:eastAsiaTheme="minorHAnsi"/>
                <w:b/>
                <w:kern w:val="0"/>
                <w:sz w:val="18"/>
                <w:szCs w:val="18"/>
                <w:lang w:val="en-US" w:eastAsia="en-US" w:bidi="ar-SA"/>
              </w:rPr>
              <w:t>9</w:t>
            </w:r>
          </w:p>
        </w:tc>
        <w:tc>
          <w:tcPr>
            <w:tcW w:w="434" w:type="dxa"/>
            <w:tcBorders>
              <w:right w:val="nil"/>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eastAsiaTheme="minorHAnsi"/>
                <w:b/>
                <w:sz w:val="18"/>
                <w:szCs w:val="18"/>
              </w:rPr>
              <w:t>10</w:t>
            </w:r>
          </w:p>
        </w:tc>
        <w:tc>
          <w:tcPr>
            <w:tcW w:w="524" w:type="dxa"/>
            <w:tcBorders>
              <w:right w:val="nil"/>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eastAsiaTheme="minorHAnsi"/>
                <w:b/>
                <w:sz w:val="18"/>
                <w:szCs w:val="18"/>
              </w:rPr>
              <w:t>11</w:t>
            </w:r>
          </w:p>
        </w:tc>
        <w:tc>
          <w:tcPr>
            <w:tcW w:w="542" w:type="dxa"/>
            <w:tcBorders/>
            <w:shd w:color="auto" w:fill="auto" w:val="clear"/>
            <w:vAlign w:val="center"/>
          </w:tcPr>
          <w:p>
            <w:pPr>
              <w:pStyle w:val="Normal"/>
              <w:widowControl w:val="false"/>
              <w:suppressAutoHyphens w:val="true"/>
              <w:snapToGrid w:val="false"/>
              <w:spacing w:before="0" w:after="0"/>
              <w:jc w:val="center"/>
              <w:rPr>
                <w:rFonts w:eastAsia="Calibri" w:eastAsiaTheme="minorHAnsi"/>
                <w:b/>
                <w:b/>
                <w:sz w:val="18"/>
                <w:szCs w:val="18"/>
              </w:rPr>
            </w:pPr>
            <w:r>
              <w:rPr>
                <w:rFonts w:eastAsia="Calibri" w:eastAsiaTheme="minorHAnsi"/>
                <w:b/>
                <w:sz w:val="18"/>
                <w:szCs w:val="18"/>
              </w:rPr>
              <w:t>12</w:t>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pPr>
            <w:r>
              <w:rPr>
                <w:rFonts w:eastAsia="Calibri" w:cs="" w:eastAsiaTheme="minorHAnsi"/>
                <w:i/>
                <w:iCs/>
                <w:kern w:val="0"/>
                <w:sz w:val="18"/>
                <w:szCs w:val="18"/>
                <w:lang w:val="en-US" w:eastAsia="en-US" w:bidi="ar-SA"/>
              </w:rPr>
              <w:t xml:space="preserve">Random and watershed </w:t>
            </w:r>
            <w:r>
              <w:rPr>
                <w:rFonts w:eastAsia="Calibri" w:cs="" w:eastAsiaTheme="minorHAnsi"/>
                <w:i/>
                <w:iCs/>
                <w:kern w:val="0"/>
                <w:sz w:val="18"/>
                <w:szCs w:val="18"/>
                <w:lang w:val="en-US" w:eastAsia="en-US" w:bidi="ar-SA"/>
              </w:rPr>
              <w:t>patterns</w:t>
            </w:r>
          </w:p>
        </w:tc>
        <w:tc>
          <w:tcPr>
            <w:tcW w:w="361" w:type="dxa"/>
            <w:tcBorders/>
            <w:shd w:color="auto" w:fill="F4B083" w:themeFill="accent2" w:themeFillTint="99" w:val="clear"/>
            <w:vAlign w:val="center"/>
          </w:tcPr>
          <w:p>
            <w:pPr>
              <w:pStyle w:val="Normal"/>
              <w:widowControl w:val="false"/>
              <w:suppressAutoHyphens w:val="true"/>
              <w:snapToGrid w:val="false"/>
              <w:spacing w:before="0" w:after="0"/>
              <w:jc w:val="left"/>
              <w:rPr>
                <w:rFonts w:eastAsia="Calibri" w:eastAsiaTheme="minorHAnsi"/>
                <w:color w:val="FF8000"/>
                <w:sz w:val="18"/>
                <w:szCs w:val="18"/>
                <w:highlight w:val="none"/>
                <w:shd w:fill="auto" w:val="clear"/>
              </w:rPr>
            </w:pPr>
            <w:r>
              <w:rPr>
                <w:rFonts w:eastAsia="Calibri" w:eastAsiaTheme="minorHAnsi"/>
                <w:color w:val="FF8000"/>
                <w:sz w:val="18"/>
                <w:szCs w:val="18"/>
                <w:shd w:fill="auto" w:val="clear"/>
              </w:rPr>
            </w:r>
          </w:p>
        </w:tc>
        <w:tc>
          <w:tcPr>
            <w:tcW w:w="308" w:type="dxa"/>
            <w:tcBorders/>
            <w:shd w:color="auto" w:fill="F4B083" w:themeFill="accent2" w:themeFillTint="99" w:val="clear"/>
            <w:vAlign w:val="center"/>
          </w:tcPr>
          <w:p>
            <w:pPr>
              <w:pStyle w:val="Normal"/>
              <w:widowControl w:val="false"/>
              <w:suppressAutoHyphens w:val="true"/>
              <w:snapToGrid w:val="false"/>
              <w:spacing w:before="0" w:after="0"/>
              <w:jc w:val="left"/>
              <w:rPr>
                <w:rFonts w:eastAsia="Calibri" w:eastAsiaTheme="minorHAnsi"/>
                <w:color w:val="FF8000"/>
                <w:sz w:val="18"/>
                <w:szCs w:val="18"/>
                <w:highlight w:val="none"/>
                <w:shd w:fill="auto" w:val="clear"/>
              </w:rPr>
            </w:pPr>
            <w:r>
              <w:rPr>
                <w:rFonts w:eastAsia="Calibri" w:eastAsiaTheme="minorHAnsi"/>
                <w:color w:val="FF8000"/>
                <w:sz w:val="18"/>
                <w:szCs w:val="18"/>
                <w:shd w:fill="auto" w:val="clear"/>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color w:val="FF8000"/>
                <w:sz w:val="18"/>
                <w:szCs w:val="18"/>
                <w:highlight w:val="none"/>
                <w:shd w:fill="auto" w:val="clear"/>
              </w:rPr>
            </w:pPr>
            <w:r>
              <w:rPr>
                <w:rFonts w:eastAsia="Calibri" w:eastAsiaTheme="minorHAnsi"/>
                <w:color w:val="FF8000"/>
                <w:sz w:val="18"/>
                <w:szCs w:val="18"/>
                <w:shd w:fill="auto" w:val="clear"/>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color w:val="FF8000"/>
                <w:sz w:val="18"/>
                <w:szCs w:val="18"/>
                <w:highlight w:val="none"/>
                <w:shd w:fill="auto" w:val="clear"/>
              </w:rPr>
            </w:pPr>
            <w:r>
              <w:rPr>
                <w:rFonts w:eastAsia="Calibri" w:eastAsiaTheme="minorHAnsi"/>
                <w:color w:val="FF8000"/>
                <w:sz w:val="18"/>
                <w:szCs w:val="18"/>
                <w:shd w:fill="auto" w:val="clear"/>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color w:val="FF8000"/>
                <w:sz w:val="18"/>
                <w:szCs w:val="18"/>
                <w:highlight w:val="none"/>
                <w:shd w:fill="auto" w:val="clear"/>
              </w:rPr>
            </w:pPr>
            <w:r>
              <w:rPr>
                <w:rFonts w:eastAsia="Calibri" w:eastAsiaTheme="minorHAnsi"/>
                <w:color w:val="FF8000"/>
                <w:sz w:val="18"/>
                <w:szCs w:val="18"/>
                <w:shd w:fill="auto" w:val="clear"/>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61"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43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2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42"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pPr>
            <w:r>
              <w:rPr>
                <w:rFonts w:eastAsia="Calibri" w:cs="" w:eastAsiaTheme="minorHAnsi"/>
                <w:i/>
                <w:iCs/>
                <w:kern w:val="0"/>
                <w:sz w:val="18"/>
                <w:szCs w:val="18"/>
                <w:lang w:val="en-US" w:eastAsia="en-US" w:bidi="ar-SA"/>
              </w:rPr>
              <w:t>Global change scenarios</w:t>
            </w:r>
          </w:p>
        </w:tc>
        <w:tc>
          <w:tcPr>
            <w:tcW w:w="361"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08" w:type="dxa"/>
            <w:tcBorders/>
            <w:shd w:color="auto" w:fill="A8D08D" w:themeFill="accent6" w:themeFillTint="99"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8D08D" w:themeFill="accent6" w:themeFillTint="99"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8D08D" w:themeFill="accent6" w:themeFillTint="99"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61"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43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2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42"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ind w:hanging="0"/>
              <w:jc w:val="left"/>
              <w:rPr/>
            </w:pPr>
            <w:r>
              <w:rPr>
                <w:rFonts w:eastAsia="Calibri" w:cs="" w:eastAsiaTheme="minorHAnsi"/>
                <w:kern w:val="0"/>
                <w:sz w:val="18"/>
                <w:szCs w:val="18"/>
                <w:lang w:val="en-US" w:eastAsia="en-US" w:bidi="ar-SA"/>
              </w:rPr>
              <w:t>Numerical analysis</w:t>
            </w:r>
          </w:p>
        </w:tc>
        <w:tc>
          <w:tcPr>
            <w:tcW w:w="361"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08" w:type="dxa"/>
            <w:tcBorders/>
            <w:shd w:color="auto" w:fill="E2EFD9" w:themeFill="accent6" w:themeFillTint="33"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E2EFD9" w:themeFill="accent6" w:themeFillTint="33"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61"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43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2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42"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ind w:hanging="0"/>
              <w:jc w:val="left"/>
              <w:rPr/>
            </w:pPr>
            <w:r>
              <w:rPr>
                <w:rFonts w:eastAsia="Calibri" w:cs="" w:eastAsiaTheme="minorHAnsi"/>
                <w:kern w:val="0"/>
                <w:sz w:val="18"/>
                <w:szCs w:val="18"/>
                <w:lang w:val="en-US" w:eastAsia="en-US" w:bidi="ar-SA"/>
              </w:rPr>
              <w:t xml:space="preserve">Robustness </w:t>
            </w:r>
          </w:p>
        </w:tc>
        <w:tc>
          <w:tcPr>
            <w:tcW w:w="361" w:type="dxa"/>
            <w:tcBorders/>
            <w:shd w:color="auto" w:fill="FFFFFF" w:themeFill="background1"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08" w:type="dxa"/>
            <w:tcBorders/>
            <w:shd w:color="auto" w:fill="FFFFFF" w:themeFill="background1"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E2EFD9" w:themeFill="accent6" w:themeFillTint="33"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E2EFD9" w:themeFill="accent6" w:themeFillTint="33"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61"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43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2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42"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pPr>
            <w:r>
              <w:rPr>
                <w:rFonts w:eastAsia="Calibri" w:cs="" w:eastAsiaTheme="minorHAnsi"/>
                <w:i/>
                <w:iCs/>
                <w:kern w:val="0"/>
                <w:sz w:val="18"/>
                <w:szCs w:val="18"/>
                <w:lang w:val="en-US" w:eastAsia="en-US" w:bidi="ar-SA"/>
              </w:rPr>
              <w:t>Interface knowledge transfer</w:t>
            </w:r>
          </w:p>
        </w:tc>
        <w:tc>
          <w:tcPr>
            <w:tcW w:w="361"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08"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9CC2E5" w:themeFill="accent5" w:themeFillTint="99"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9CC2E5" w:themeFill="accent5" w:themeFillTint="99"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9CC2E5" w:themeFill="accent5" w:themeFillTint="99"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61"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43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24" w:type="dxa"/>
            <w:tcBorders>
              <w:right w:val="nil"/>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42"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ind w:hanging="0"/>
              <w:jc w:val="left"/>
              <w:rPr>
                <w:sz w:val="18"/>
                <w:szCs w:val="18"/>
              </w:rPr>
            </w:pPr>
            <w:r>
              <w:rPr>
                <w:rFonts w:eastAsia="" w:cs=""/>
                <w:kern w:val="0"/>
                <w:sz w:val="18"/>
                <w:szCs w:val="18"/>
                <w:lang w:val="en-US" w:eastAsia="en-US" w:bidi="ar-SA"/>
              </w:rPr>
              <w:t xml:space="preserve">Generate predictions </w:t>
            </w:r>
            <w:r>
              <w:rPr>
                <w:rFonts w:eastAsia="" w:cs=""/>
                <w:kern w:val="0"/>
                <w:sz w:val="18"/>
                <w:szCs w:val="18"/>
                <w:lang w:val="en-US" w:eastAsia="en-US" w:bidi="ar-SA"/>
              </w:rPr>
              <w:t>scenarios</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08"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4" w:type="dxa"/>
            <w:tcBorders/>
            <w:shd w:color="auto" w:fill="D9E2F3" w:themeFill="accent1" w:themeFillTint="33"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61" w:type="dxa"/>
            <w:tcBorders>
              <w:right w:val="nil"/>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434" w:type="dxa"/>
            <w:tcBorders>
              <w:right w:val="nil"/>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524" w:type="dxa"/>
            <w:tcBorders>
              <w:right w:val="nil"/>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ind w:hanging="0"/>
              <w:jc w:val="left"/>
              <w:rPr>
                <w:sz w:val="18"/>
                <w:szCs w:val="18"/>
              </w:rPr>
            </w:pPr>
            <w:r>
              <w:rPr>
                <w:sz w:val="18"/>
                <w:szCs w:val="18"/>
              </w:rPr>
              <w:t>Robustness analysis</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08"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D9E2F3" w:themeFill="accent1" w:themeFillTint="33"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3" w:type="dxa"/>
            <w:tcBorders/>
            <w:shd w:color="auto" w:fill="D9E2F3" w:themeFill="accent1" w:themeFillTint="33"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361" w:type="dxa"/>
            <w:tcBorders>
              <w:right w:val="nil"/>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434" w:type="dxa"/>
            <w:tcBorders>
              <w:right w:val="nil"/>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524" w:type="dxa"/>
            <w:tcBorders>
              <w:right w:val="nil"/>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sz w:val="18"/>
                <w:szCs w:val="18"/>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cs="" w:eastAsiaTheme="minorHAnsi"/>
                <w:kern w:val="0"/>
                <w:sz w:val="18"/>
                <w:szCs w:val="18"/>
                <w:lang w:val="en-US" w:eastAsia="en-US" w:bidi="ar-SA"/>
              </w:rPr>
              <w:t xml:space="preserve">Writing manuscript </w:t>
            </w:r>
            <w:r>
              <w:rPr>
                <w:rFonts w:eastAsia="Calibri" w:cs="" w:eastAsiaTheme="minorHAnsi"/>
                <w:kern w:val="0"/>
                <w:sz w:val="18"/>
                <w:szCs w:val="18"/>
                <w:lang w:val="en-US" w:eastAsia="en-US" w:bidi="ar-SA"/>
              </w:rPr>
              <w:t>and reporting</w:t>
            </w:r>
          </w:p>
        </w:tc>
        <w:tc>
          <w:tcPr>
            <w:tcW w:w="361"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08"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uto"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FFFFFF" w:themeFill="background1"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3" w:type="dxa"/>
            <w:tcBorders/>
            <w:shd w:color="auto" w:fill="AEAAAA" w:themeFill="background2" w:themeFillShade="bf"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44" w:type="dxa"/>
            <w:tcBorders/>
            <w:shd w:color="auto" w:fill="AEAAAA" w:themeFill="background2" w:themeFillShade="bf"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361" w:type="dxa"/>
            <w:tcBorders>
              <w:right w:val="nil"/>
            </w:tcBorders>
            <w:shd w:color="auto" w:fill="AEAAAA" w:themeFill="background2" w:themeFillShade="bf"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434" w:type="dxa"/>
            <w:tcBorders>
              <w:right w:val="nil"/>
            </w:tcBorders>
            <w:shd w:color="auto" w:fill="AEAAAA" w:themeFill="background2" w:themeFillShade="bf"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24" w:type="dxa"/>
            <w:tcBorders>
              <w:right w:val="nil"/>
            </w:tcBorders>
            <w:shd w:color="auto" w:fill="AEAAAA" w:themeFill="background2" w:themeFillShade="bf"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c>
          <w:tcPr>
            <w:tcW w:w="542" w:type="dxa"/>
            <w:tcBorders/>
            <w:shd w:color="auto" w:fill="AEAAAA" w:themeFill="background2" w:themeFillShade="bf" w:val="clear"/>
            <w:vAlign w:val="center"/>
          </w:tcPr>
          <w:p>
            <w:pPr>
              <w:pStyle w:val="Normal"/>
              <w:widowControl w:val="false"/>
              <w:suppressAutoHyphens w:val="true"/>
              <w:snapToGrid w:val="false"/>
              <w:spacing w:before="0" w:after="0"/>
              <w:jc w:val="left"/>
              <w:rPr>
                <w:rFonts w:eastAsia="Calibri" w:eastAsiaTheme="minorHAnsi"/>
                <w:sz w:val="18"/>
                <w:szCs w:val="18"/>
              </w:rPr>
            </w:pPr>
            <w:r>
              <w:rPr>
                <w:rFonts w:eastAsia="Calibri" w:eastAsiaTheme="minorHAnsi"/>
                <w:sz w:val="18"/>
                <w:szCs w:val="18"/>
              </w:rPr>
            </w:r>
          </w:p>
        </w:tc>
      </w:tr>
    </w:tbl>
    <w:p>
      <w:pPr>
        <w:pStyle w:val="Normal"/>
        <w:spacing w:before="36" w:after="36"/>
        <w:jc w:val="both"/>
        <w:rPr/>
      </w:pPr>
      <w:r>
        <w:rPr/>
      </w:r>
    </w:p>
    <w:sectPr>
      <w:type w:val="nextPage"/>
      <w:pgSz w:w="12240" w:h="15840"/>
      <w:pgMar w:left="117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 w:numId="15">
    <w:abstractNumId w:val="2"/>
  </w:num>
  <w:num w:numId="16">
    <w:abstractNumId w:val="2"/>
    <w:lvlOverride w:ilvl="0">
      <w:startOverride w:val="1"/>
    </w:lvlOverride>
  </w:num>
  <w:num w:numId="17">
    <w:abstractNumId w:val="2"/>
  </w:num>
  <w:num w:numId="18">
    <w:abstractNumId w:val="2"/>
  </w:num>
  <w:num w:numId="19">
    <w:abstractNumId w:val="2"/>
  </w:num>
  <w:num w:numId="20">
    <w:abstractNumId w:val="1"/>
  </w:num>
  <w:num w:numId="21">
    <w:abstractNumId w:val="1"/>
  </w:num>
  <w:num w:numId="22">
    <w:abstractNumId w:val="1"/>
  </w:num>
  <w:num w:numId="23">
    <w:abstractNumId w:val="1"/>
  </w:num>
  <w:num w:numId="24">
    <w:abstractNumId w:val="1"/>
  </w:num>
</w:numbering>
</file>

<file path=word/settings.xml><?xml version="1.0" encoding="utf-8"?>
<w:settings xmlns:w="http://schemas.openxmlformats.org/wordprocessingml/2006/main">
  <w:zoom w:percent="83"/>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LibreOffice/7.3.7.2$Linux_X86_64 LibreOffice_project/30$Build-2</Application>
  <AppVersion>15.0000</AppVersion>
  <Pages>4</Pages>
  <Words>908</Words>
  <Characters>5442</Characters>
  <CharactersWithSpaces>6253</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2023-06-20T08:47:22Z</dcterms:created>
  <dc:creator/>
  <dc:description/>
  <dc:language>en-US</dc:language>
  <cp:lastModifiedBy/>
  <dcterms:modified xsi:type="dcterms:W3CDTF">2023-06-20T17:33:58Z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