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64" w:rsidRPr="00EF0864" w:rsidRDefault="00EF0864" w:rsidP="00EF0864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 w:eastAsia="en-CA"/>
        </w:rPr>
      </w:pPr>
      <w:r w:rsidRPr="00EF0864">
        <w:rPr>
          <w:rFonts w:ascii="Times New Roman" w:hAnsi="Times New Roman" w:cs="Times New Roman"/>
          <w:b/>
          <w:color w:val="000000"/>
          <w:sz w:val="24"/>
          <w:szCs w:val="24"/>
          <w:lang w:val="en-US" w:eastAsia="en-CA"/>
        </w:rPr>
        <w:t xml:space="preserve">Supplementary </w:t>
      </w:r>
      <w:r w:rsidR="00D003C4">
        <w:rPr>
          <w:rFonts w:ascii="Times New Roman" w:hAnsi="Times New Roman" w:cs="Times New Roman"/>
          <w:b/>
          <w:color w:val="000000"/>
          <w:sz w:val="24"/>
          <w:szCs w:val="24"/>
          <w:lang w:val="en-US" w:eastAsia="en-CA"/>
        </w:rPr>
        <w:t>methods</w:t>
      </w:r>
    </w:p>
    <w:p w:rsidR="00EF0864" w:rsidRDefault="00D35E54" w:rsidP="00D35E54">
      <w:pPr>
        <w:spacing w:line="480" w:lineRule="auto"/>
        <w:jc w:val="both"/>
        <w:rPr>
          <w:rFonts w:ascii="Times New Roman" w:hAnsi="Times New Roman" w:cs="Times New Roman"/>
          <w:lang w:val="en-US"/>
        </w:rPr>
        <w:sectPr w:rsidR="00EF0864" w:rsidSect="00EF0864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GB"/>
        </w:rPr>
        <w:t>Simulated scenarios evaluated considered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Scenario 1 with a population scenario from a reduced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e at time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a higher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e at time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and then let the software decide whether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e remained constant or decreased as consequence of human activity at time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(with a range of time including recent extractions of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aspera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human colonization; Fig. 2A), and (ii) Scenario 2 considering a reduction of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e from a time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a time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when the software was free to decide whether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e remained the same of reduced as consequence of human activity at time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(Fig. 2B). Scenarios were evaluated in DIYABC using 3000000 simulations with</w:t>
      </w:r>
      <w:r w:rsidR="000709C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 xml:space="preserve"> </w:t>
      </w:r>
      <w:r w:rsidR="0030507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>m</w:t>
      </w:r>
      <w:r w:rsidR="00A21937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>ean genic diversity</w:t>
      </w:r>
      <w:r w:rsidR="000709C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 xml:space="preserve"> and </w:t>
      </w:r>
      <w:r w:rsidR="00A21937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>Mean Garza-Williamson’s M</w:t>
      </w:r>
      <w:r w:rsidR="000709C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 xml:space="preserve"> and </w:t>
      </w:r>
      <w:r w:rsidR="00EF0864" w:rsidRPr="00A413CD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>pre-evaluated with a Pr</w:t>
      </w:r>
      <w:r w:rsidR="000709C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 xml:space="preserve">incipal Component Analysis (PCA) to determine whether the observed data fitted in the prior distribution of parameters. Then both scenarios were evaluated to </w:t>
      </w:r>
      <w:r w:rsidR="00E96C00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>identify</w:t>
      </w:r>
      <w:r w:rsidR="000709C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 xml:space="preserve"> the most likely scenario using two methods, direct and logistic regression. </w:t>
      </w:r>
      <w:r w:rsidR="000709CE">
        <w:rPr>
          <w:rFonts w:ascii="Times New Roman" w:hAnsi="Times New Roman" w:cs="Times New Roman"/>
          <w:sz w:val="24"/>
          <w:szCs w:val="24"/>
          <w:lang w:val="en-US"/>
        </w:rPr>
        <w:t xml:space="preserve">Results were evaluated to detect bias in the simulations using model checking using the same parameter values than on </w:t>
      </w:r>
      <w:r w:rsidR="000709CE" w:rsidRPr="000709C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F0864" w:rsidRPr="000709CE">
        <w:rPr>
          <w:rFonts w:ascii="Times New Roman" w:hAnsi="Times New Roman" w:cs="Times New Roman"/>
          <w:sz w:val="24"/>
          <w:szCs w:val="24"/>
          <w:lang w:val="en-US"/>
        </w:rPr>
        <w:t xml:space="preserve"> original simulations. </w:t>
      </w:r>
      <w:r w:rsidR="000709CE" w:rsidRPr="000709CE">
        <w:rPr>
          <w:rFonts w:ascii="Times New Roman" w:hAnsi="Times New Roman" w:cs="Times New Roman"/>
          <w:sz w:val="24"/>
          <w:szCs w:val="24"/>
          <w:lang w:val="en-US"/>
        </w:rPr>
        <w:t xml:space="preserve">Confidence on scenarios was also evaluated by </w:t>
      </w:r>
      <w:r w:rsidR="00EF0864" w:rsidRPr="000709CE">
        <w:rPr>
          <w:rFonts w:ascii="Times New Roman" w:hAnsi="Times New Roman" w:cs="Times New Roman"/>
          <w:sz w:val="24"/>
          <w:szCs w:val="24"/>
          <w:lang w:val="en-US"/>
        </w:rPr>
        <w:t>model checking using a PCA</w:t>
      </w:r>
      <w:r w:rsidR="00A21937" w:rsidRPr="000709CE">
        <w:rPr>
          <w:rFonts w:ascii="Times New Roman" w:hAnsi="Times New Roman" w:cs="Times New Roman"/>
          <w:sz w:val="24"/>
          <w:szCs w:val="24"/>
          <w:lang w:val="en-US"/>
        </w:rPr>
        <w:t xml:space="preserve"> with mean number of alleles</w:t>
      </w:r>
      <w:r w:rsidR="000709CE" w:rsidRPr="000709C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0507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>mean size variance</w:t>
      </w:r>
      <w:r w:rsidR="00EF0864" w:rsidRPr="000709CE">
        <w:rPr>
          <w:rFonts w:ascii="Times New Roman" w:hAnsi="Times New Roman" w:cs="Times New Roman"/>
          <w:sz w:val="24"/>
          <w:szCs w:val="24"/>
          <w:lang w:val="en-US"/>
        </w:rPr>
        <w:t xml:space="preserve">, redefining summary statistics, using the statistics that were not used in the previous analysis. </w:t>
      </w:r>
      <w:r w:rsidR="000709CE" w:rsidRPr="000709CE">
        <w:rPr>
          <w:rFonts w:ascii="Times New Roman" w:hAnsi="Times New Roman" w:cs="Times New Roman"/>
          <w:sz w:val="24"/>
          <w:szCs w:val="24"/>
          <w:lang w:val="en-US"/>
        </w:rPr>
        <w:t>Finally, p</w:t>
      </w:r>
      <w:r w:rsidR="000709CE" w:rsidRPr="000709CE">
        <w:rPr>
          <w:rFonts w:ascii="Times New Roman" w:hAnsi="Times New Roman" w:cs="Times New Roman"/>
          <w:color w:val="000000"/>
          <w:sz w:val="24"/>
          <w:szCs w:val="24"/>
          <w:lang w:val="en-US" w:eastAsia="en-CA"/>
        </w:rPr>
        <w:t xml:space="preserve">arameters were calculated and observed to detect </w:t>
      </w:r>
      <w:r w:rsidR="000709CE" w:rsidRPr="000709CE">
        <w:rPr>
          <w:rFonts w:ascii="Times New Roman" w:hAnsi="Times New Roman" w:cs="Times New Roman"/>
          <w:sz w:val="24"/>
          <w:szCs w:val="24"/>
          <w:lang w:val="en-US"/>
        </w:rPr>
        <w:t>anomalies in their distribution.</w:t>
      </w:r>
    </w:p>
    <w:p w:rsidR="007E3B70" w:rsidRPr="000556AA" w:rsidRDefault="00E540FF">
      <w:pPr>
        <w:rPr>
          <w:rFonts w:ascii="Times New Roman" w:hAnsi="Times New Roman" w:cs="Times New Roman"/>
          <w:lang w:val="en-US"/>
        </w:rPr>
      </w:pPr>
      <w:r w:rsidRPr="000556AA">
        <w:rPr>
          <w:rFonts w:ascii="Times New Roman" w:hAnsi="Times New Roman" w:cs="Times New Roman"/>
          <w:lang w:val="en-US"/>
        </w:rPr>
        <w:lastRenderedPageBreak/>
        <w:t xml:space="preserve">Table </w:t>
      </w:r>
      <w:r w:rsidR="00126318">
        <w:rPr>
          <w:rFonts w:ascii="Times New Roman" w:hAnsi="Times New Roman" w:cs="Times New Roman"/>
          <w:lang w:val="en-US"/>
        </w:rPr>
        <w:t>S</w:t>
      </w:r>
      <w:r w:rsidRPr="000556AA">
        <w:rPr>
          <w:rFonts w:ascii="Times New Roman" w:hAnsi="Times New Roman" w:cs="Times New Roman"/>
          <w:lang w:val="en-US"/>
        </w:rPr>
        <w:t xml:space="preserve">1. </w:t>
      </w:r>
      <w:r w:rsidR="007E3B70" w:rsidRPr="000556AA">
        <w:rPr>
          <w:rFonts w:ascii="Times New Roman" w:hAnsi="Times New Roman" w:cs="Times New Roman"/>
          <w:lang w:val="en-US"/>
        </w:rPr>
        <w:t>Microsatellite</w:t>
      </w:r>
      <w:r w:rsidR="0030507E">
        <w:rPr>
          <w:rFonts w:ascii="Times New Roman" w:hAnsi="Times New Roman" w:cs="Times New Roman"/>
          <w:lang w:val="en-US"/>
        </w:rPr>
        <w:t xml:space="preserve"> markers </w:t>
      </w:r>
      <w:r w:rsidRPr="000556A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0556AA">
        <w:rPr>
          <w:rFonts w:ascii="Times New Roman" w:hAnsi="Times New Roman" w:cs="Times New Roman"/>
          <w:i/>
          <w:lang w:val="en-US"/>
        </w:rPr>
        <w:t>Patellas</w:t>
      </w:r>
      <w:proofErr w:type="spellEnd"/>
      <w:r w:rsidRPr="000556A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0556AA">
        <w:rPr>
          <w:rFonts w:ascii="Times New Roman" w:hAnsi="Times New Roman" w:cs="Times New Roman"/>
          <w:i/>
          <w:lang w:val="en-US"/>
        </w:rPr>
        <w:t>aspera</w:t>
      </w:r>
      <w:proofErr w:type="spellEnd"/>
      <w:r w:rsidRPr="000556AA">
        <w:rPr>
          <w:rFonts w:ascii="Times New Roman" w:hAnsi="Times New Roman" w:cs="Times New Roman"/>
          <w:lang w:val="en-US"/>
        </w:rPr>
        <w:t xml:space="preserve"> </w:t>
      </w:r>
      <w:r w:rsidR="0030507E">
        <w:rPr>
          <w:rFonts w:ascii="Times New Roman" w:hAnsi="Times New Roman" w:cs="Times New Roman"/>
          <w:lang w:val="en-US"/>
        </w:rPr>
        <w:t xml:space="preserve">developed and </w:t>
      </w:r>
      <w:r w:rsidRPr="000556AA">
        <w:rPr>
          <w:rFonts w:ascii="Times New Roman" w:hAnsi="Times New Roman" w:cs="Times New Roman"/>
          <w:lang w:val="en-US"/>
        </w:rPr>
        <w:t>used in this study</w:t>
      </w:r>
    </w:p>
    <w:tbl>
      <w:tblPr>
        <w:tblW w:w="92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360"/>
        <w:gridCol w:w="2460"/>
        <w:gridCol w:w="1460"/>
      </w:tblGrid>
      <w:tr w:rsidR="00DB1CF1" w:rsidRPr="00DB1CF1" w:rsidTr="00DB1CF1">
        <w:trPr>
          <w:trHeight w:val="300"/>
        </w:trPr>
        <w:tc>
          <w:tcPr>
            <w:tcW w:w="96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Locus</w:t>
            </w:r>
          </w:p>
        </w:tc>
        <w:tc>
          <w:tcPr>
            <w:tcW w:w="436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Primer </w:t>
            </w:r>
            <w:proofErr w:type="spellStart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sequences</w:t>
            </w:r>
            <w:proofErr w:type="spellEnd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 (5’-3’)</w:t>
            </w:r>
          </w:p>
        </w:tc>
        <w:tc>
          <w:tcPr>
            <w:tcW w:w="246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proofErr w:type="spellStart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Amplicon</w:t>
            </w:r>
            <w:proofErr w:type="spellEnd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 </w:t>
            </w:r>
            <w:proofErr w:type="spellStart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size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proofErr w:type="spellStart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Repeat</w:t>
            </w:r>
            <w:proofErr w:type="spellEnd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 </w:t>
            </w:r>
            <w:proofErr w:type="spellStart"/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motif</w:t>
            </w:r>
            <w:proofErr w:type="spellEnd"/>
          </w:p>
        </w:tc>
      </w:tr>
      <w:tr w:rsidR="00DB1CF1" w:rsidRPr="00DB1CF1" w:rsidTr="00DB1CF1">
        <w:trPr>
          <w:trHeight w:val="315"/>
        </w:trPr>
        <w:tc>
          <w:tcPr>
            <w:tcW w:w="9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24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ASP2F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CGTACTTCAATTGGCGAAGC</w:t>
            </w:r>
          </w:p>
        </w:tc>
        <w:tc>
          <w:tcPr>
            <w:tcW w:w="246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110-146</w:t>
            </w:r>
          </w:p>
        </w:tc>
        <w:tc>
          <w:tcPr>
            <w:tcW w:w="146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(AAG)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ACGATCTAGCAACCCCTGACT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ASP21F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GTGCATAAAATTTGGTTGCG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168-188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(AG)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GAACCTGCAATAAGCAGATTTACA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ASP23F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TATGAACCGCCCCTTTAAGA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165-216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(TCA)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AGCTGAGGGTGATGGTGATGT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ASP33F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GGTTCTACGTAAGACCGTCTGG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235-275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(AG)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TCTTCAAATGAGGACTAAGCAGTT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ASP34F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AGATGTCCCATCTGAGGTGC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245-275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(GA)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TACCCACCCGAACGACTATG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ASP15F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ACAGTCACGAACAGGGTATGTT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156-222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(TTC)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ACCTCCCACAAGAAAGACTCCT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ASP24F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ATGTTCAAGCGATTGGAAGG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160-214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(GA)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GCAGAACATTGTGACCCAAA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ASP36F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ACCCTTTTGTGTGATGAGGG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288-344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(GA)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ATTGTTTGTAGTGGATGTTGAAGC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ASP38F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GAAGTTTATATCACTCAGGGCCTA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302-352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(AG)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AGTCTAGAGTGCCGCGCTT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ASP17F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746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TAAATAAATGTACAACCATTGACACA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148-168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(AG)</w:t>
            </w:r>
            <w:r w:rsidRPr="00DB1CF1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s-CL" w:eastAsia="es-CL"/>
              </w:rPr>
              <w:t>n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TACGGTTGTACGTGACAAGGA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ASP26F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ATTGGTGGACACCCACAATTA</w:t>
            </w:r>
          </w:p>
        </w:tc>
        <w:tc>
          <w:tcPr>
            <w:tcW w:w="2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194-232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(AG)</w:t>
            </w:r>
            <w:r w:rsidRPr="00DB1CF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s-CL" w:eastAsia="es-CL"/>
              </w:rPr>
              <w:t>9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ATTGAGTCACCGGCGTAGTT</w:t>
            </w:r>
          </w:p>
        </w:tc>
        <w:tc>
          <w:tcPr>
            <w:tcW w:w="2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ASP27F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F: TTTTCTCAGGGTACTCCGGTT</w:t>
            </w:r>
          </w:p>
        </w:tc>
        <w:tc>
          <w:tcPr>
            <w:tcW w:w="2460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195-225</w:t>
            </w:r>
          </w:p>
        </w:tc>
        <w:tc>
          <w:tcPr>
            <w:tcW w:w="1460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(TC)</w:t>
            </w:r>
            <w:r w:rsidRPr="00DB1CF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s-CL" w:eastAsia="es-CL"/>
              </w:rPr>
              <w:t>10</w:t>
            </w:r>
          </w:p>
        </w:tc>
      </w:tr>
      <w:tr w:rsidR="00DB1CF1" w:rsidRPr="00DB1CF1" w:rsidTr="00DB1CF1">
        <w:trPr>
          <w:trHeight w:val="285"/>
        </w:trPr>
        <w:tc>
          <w:tcPr>
            <w:tcW w:w="9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436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DB1CF1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R: GGCATAATGGCAGGGTGAAT</w:t>
            </w:r>
          </w:p>
        </w:tc>
        <w:tc>
          <w:tcPr>
            <w:tcW w:w="24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46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DB1CF1" w:rsidRPr="00DB1CF1" w:rsidRDefault="00DB1CF1" w:rsidP="00DB1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</w:tbl>
    <w:p w:rsidR="00E540FF" w:rsidRDefault="007E3B70">
      <w:pPr>
        <w:rPr>
          <w:rFonts w:ascii="Times New Roman" w:hAnsi="Times New Roman" w:cs="Times New Roman"/>
          <w:lang w:val="en-US"/>
        </w:rPr>
      </w:pPr>
      <w:r w:rsidRPr="000556AA">
        <w:rPr>
          <w:rFonts w:ascii="Times New Roman" w:hAnsi="Times New Roman" w:cs="Times New Roman"/>
          <w:lang w:val="en-US"/>
        </w:rPr>
        <w:br/>
      </w:r>
    </w:p>
    <w:p w:rsidR="007376CE" w:rsidRPr="00B01799" w:rsidRDefault="007376CE" w:rsidP="007376CE">
      <w:pPr>
        <w:jc w:val="both"/>
        <w:rPr>
          <w:rFonts w:ascii="Times New Roman" w:hAnsi="Times New Roman" w:cs="Times New Roman"/>
          <w:lang w:val="en-US"/>
        </w:rPr>
      </w:pPr>
      <w:r w:rsidRPr="00B01799">
        <w:rPr>
          <w:rFonts w:ascii="Times New Roman" w:hAnsi="Times New Roman" w:cs="Times New Roman"/>
          <w:lang w:val="en-US"/>
        </w:rPr>
        <w:t xml:space="preserve">Table </w:t>
      </w:r>
      <w:r>
        <w:rPr>
          <w:rFonts w:ascii="Times New Roman" w:hAnsi="Times New Roman" w:cs="Times New Roman"/>
          <w:lang w:val="en-US"/>
        </w:rPr>
        <w:t>S2</w:t>
      </w:r>
      <w:r w:rsidRPr="00B01799">
        <w:rPr>
          <w:rFonts w:ascii="Times New Roman" w:hAnsi="Times New Roman" w:cs="Times New Roman"/>
          <w:lang w:val="en-US"/>
        </w:rPr>
        <w:t xml:space="preserve">. Prior and mean posterior distribution of parameters for two </w:t>
      </w:r>
      <w:r>
        <w:rPr>
          <w:rFonts w:ascii="Times New Roman" w:hAnsi="Times New Roman" w:cs="Times New Roman"/>
          <w:lang w:val="en-US"/>
        </w:rPr>
        <w:t xml:space="preserve">demographic scenarios for </w:t>
      </w:r>
      <w:r w:rsidRPr="00126318">
        <w:rPr>
          <w:rFonts w:ascii="Times New Roman" w:hAnsi="Times New Roman" w:cs="Times New Roman"/>
          <w:i/>
          <w:lang w:val="en-US"/>
        </w:rPr>
        <w:t xml:space="preserve">Patella </w:t>
      </w:r>
      <w:proofErr w:type="spellStart"/>
      <w:r w:rsidRPr="00126318">
        <w:rPr>
          <w:rFonts w:ascii="Times New Roman" w:hAnsi="Times New Roman" w:cs="Times New Roman"/>
          <w:i/>
          <w:lang w:val="en-US"/>
        </w:rPr>
        <w:t>aspera</w:t>
      </w:r>
      <w:proofErr w:type="spellEnd"/>
      <w:r>
        <w:rPr>
          <w:rFonts w:ascii="Times New Roman" w:hAnsi="Times New Roman" w:cs="Times New Roman"/>
          <w:lang w:val="en-US"/>
        </w:rPr>
        <w:t xml:space="preserve"> individuals from the Archipelago of Madeira</w:t>
      </w:r>
      <w:r w:rsidRPr="00B01799">
        <w:rPr>
          <w:rFonts w:ascii="Times New Roman" w:hAnsi="Times New Roman" w:cs="Times New Roman"/>
          <w:lang w:val="en-US"/>
        </w:rPr>
        <w:t xml:space="preserve"> using DIYABC.</w:t>
      </w:r>
      <w:r>
        <w:rPr>
          <w:rFonts w:ascii="Times New Roman" w:hAnsi="Times New Roman" w:cs="Times New Roman"/>
          <w:lang w:val="en-US"/>
        </w:rPr>
        <w:t xml:space="preserve"> Median posterior values (including q</w:t>
      </w:r>
      <w:r w:rsidRPr="00B01799">
        <w:rPr>
          <w:rFonts w:ascii="Times New Roman" w:hAnsi="Times New Roman" w:cs="Times New Roman"/>
          <w:lang w:val="en-US"/>
        </w:rPr>
        <w:t>0.025</w:t>
      </w:r>
      <w:r>
        <w:rPr>
          <w:rFonts w:ascii="Times New Roman" w:hAnsi="Times New Roman" w:cs="Times New Roman"/>
          <w:lang w:val="en-US"/>
        </w:rPr>
        <w:t xml:space="preserve"> </w:t>
      </w:r>
      <w:r w:rsidRPr="00B01799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q</w:t>
      </w:r>
      <w:r w:rsidRPr="00B01799">
        <w:rPr>
          <w:rFonts w:ascii="Times New Roman" w:hAnsi="Times New Roman" w:cs="Times New Roman"/>
          <w:lang w:val="en-US"/>
        </w:rPr>
        <w:t>0.975)</w:t>
      </w:r>
      <w:r>
        <w:rPr>
          <w:rFonts w:ascii="Times New Roman" w:hAnsi="Times New Roman" w:cs="Times New Roman"/>
          <w:lang w:val="en-US"/>
        </w:rPr>
        <w:t xml:space="preserve"> are included for the most likely scenario (Scenario 1).</w:t>
      </w:r>
    </w:p>
    <w:tbl>
      <w:tblPr>
        <w:tblStyle w:val="TableGrid"/>
        <w:tblW w:w="6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"/>
        <w:gridCol w:w="1263"/>
        <w:gridCol w:w="2232"/>
        <w:gridCol w:w="1440"/>
      </w:tblGrid>
      <w:tr w:rsidR="007376CE" w:rsidRPr="00B01799" w:rsidTr="00337026">
        <w:tc>
          <w:tcPr>
            <w:tcW w:w="1365" w:type="dxa"/>
            <w:tcBorders>
              <w:top w:val="single" w:sz="12" w:space="0" w:color="auto"/>
              <w:bottom w:val="single" w:sz="8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95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1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8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2</w:t>
            </w:r>
          </w:p>
        </w:tc>
      </w:tr>
      <w:tr w:rsidR="007376CE" w:rsidRPr="00B01799" w:rsidTr="00337026">
        <w:tc>
          <w:tcPr>
            <w:tcW w:w="1365" w:type="dxa"/>
            <w:tcBorders>
              <w:top w:val="single" w:sz="8" w:space="0" w:color="auto"/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1263" w:type="dxa"/>
            <w:tcBorders>
              <w:top w:val="single" w:sz="8" w:space="0" w:color="auto"/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Prior</w:t>
            </w:r>
          </w:p>
        </w:tc>
        <w:tc>
          <w:tcPr>
            <w:tcW w:w="2232" w:type="dxa"/>
            <w:tcBorders>
              <w:top w:val="single" w:sz="8" w:space="0" w:color="auto"/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Median posterior</w:t>
            </w:r>
          </w:p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B01799">
              <w:rPr>
                <w:rFonts w:ascii="Times New Roman" w:hAnsi="Times New Roman" w:cs="Times New Roman"/>
                <w:lang w:val="en-US"/>
              </w:rPr>
              <w:t>0.025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0179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q</w:t>
            </w:r>
            <w:r w:rsidRPr="00B01799">
              <w:rPr>
                <w:rFonts w:ascii="Times New Roman" w:hAnsi="Times New Roman" w:cs="Times New Roman"/>
                <w:lang w:val="en-US"/>
              </w:rPr>
              <w:t>0.975)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Prior</w:t>
            </w:r>
          </w:p>
        </w:tc>
      </w:tr>
      <w:tr w:rsidR="007376CE" w:rsidRPr="00B01799" w:rsidTr="00337026">
        <w:tc>
          <w:tcPr>
            <w:tcW w:w="1365" w:type="dxa"/>
            <w:tcBorders>
              <w:top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263" w:type="dxa"/>
            <w:tcBorders>
              <w:top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10 - 10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2232" w:type="dxa"/>
            <w:tcBorders>
              <w:top w:val="single" w:sz="12" w:space="0" w:color="auto"/>
            </w:tcBorders>
          </w:tcPr>
          <w:p w:rsidR="007376CE" w:rsidRPr="00B01799" w:rsidRDefault="007376CE" w:rsidP="0056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2</w:t>
            </w:r>
            <w:r w:rsidR="0056760C"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B01799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450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7140</w:t>
            </w:r>
            <w:r w:rsidRPr="00B0179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10 - 10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376CE" w:rsidRPr="00B01799" w:rsidTr="00337026">
        <w:tc>
          <w:tcPr>
            <w:tcW w:w="1365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et1</w:t>
            </w:r>
          </w:p>
        </w:tc>
        <w:tc>
          <w:tcPr>
            <w:tcW w:w="1263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10 - 10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2232" w:type="dxa"/>
          </w:tcPr>
          <w:p w:rsidR="007376CE" w:rsidRPr="00B01799" w:rsidRDefault="0056760C" w:rsidP="0056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6300</w:t>
            </w:r>
            <w:r w:rsidR="007376C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1550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376CE">
              <w:rPr>
                <w:rFonts w:ascii="Times New Roman" w:hAnsi="Times New Roman" w:cs="Times New Roman"/>
                <w:lang w:val="en-US"/>
              </w:rPr>
              <w:t>-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9800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40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10 - 10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376CE" w:rsidRPr="00B01799" w:rsidTr="00337026">
        <w:tc>
          <w:tcPr>
            <w:tcW w:w="1365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et2</w:t>
            </w:r>
          </w:p>
        </w:tc>
        <w:tc>
          <w:tcPr>
            <w:tcW w:w="1263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0 -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2232" w:type="dxa"/>
          </w:tcPr>
          <w:p w:rsidR="007376CE" w:rsidRPr="00B01799" w:rsidRDefault="007376CE" w:rsidP="0056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56760C">
              <w:rPr>
                <w:rFonts w:ascii="Times New Roman" w:hAnsi="Times New Roman" w:cs="Times New Roman"/>
                <w:lang w:val="en-US"/>
              </w:rPr>
              <w:t>4000</w:t>
            </w:r>
            <w:r>
              <w:rPr>
                <w:rFonts w:ascii="Times New Roman" w:hAnsi="Times New Roman" w:cs="Times New Roman"/>
                <w:lang w:val="en-US"/>
              </w:rPr>
              <w:t xml:space="preserve"> (8570 – 98000)</w:t>
            </w:r>
          </w:p>
        </w:tc>
        <w:tc>
          <w:tcPr>
            <w:tcW w:w="1440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0 -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376CE" w:rsidRPr="00B01799" w:rsidTr="00337026">
        <w:tc>
          <w:tcPr>
            <w:tcW w:w="1365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et3</w:t>
            </w:r>
          </w:p>
        </w:tc>
        <w:tc>
          <w:tcPr>
            <w:tcW w:w="1263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2232" w:type="dxa"/>
          </w:tcPr>
          <w:p w:rsidR="007376CE" w:rsidRPr="00B01799" w:rsidRDefault="0056760C" w:rsidP="0056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1400</w:t>
            </w:r>
            <w:bookmarkStart w:id="0" w:name="_GoBack"/>
            <w:bookmarkEnd w:id="0"/>
            <w:r w:rsidR="007376CE"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376C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45</w:t>
            </w:r>
            <w:r w:rsidR="007376CE">
              <w:rPr>
                <w:rFonts w:ascii="Times New Roman" w:hAnsi="Times New Roman" w:cs="Times New Roman"/>
                <w:lang w:val="en-US"/>
              </w:rPr>
              <w:t>-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5150</w:t>
            </w:r>
            <w:r w:rsidR="007376CE" w:rsidRPr="00B0179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40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376CE" w:rsidRPr="00B01799" w:rsidTr="00337026">
        <w:tc>
          <w:tcPr>
            <w:tcW w:w="1365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t1</w:t>
            </w:r>
          </w:p>
        </w:tc>
        <w:tc>
          <w:tcPr>
            <w:tcW w:w="1263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– 100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32" w:type="dxa"/>
          </w:tcPr>
          <w:p w:rsidR="007376CE" w:rsidRPr="00B01799" w:rsidRDefault="007376CE" w:rsidP="0056760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538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B01799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56760C">
              <w:rPr>
                <w:rFonts w:ascii="Times New Roman" w:hAnsi="Times New Roman" w:cs="Times New Roman"/>
                <w:lang w:val="en-US"/>
              </w:rPr>
              <w:t>8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970</w:t>
            </w:r>
            <w:r w:rsidRPr="00B0179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40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– 100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376CE" w:rsidRPr="00B01799" w:rsidTr="00337026">
        <w:tc>
          <w:tcPr>
            <w:tcW w:w="1365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t2</w:t>
            </w:r>
          </w:p>
        </w:tc>
        <w:tc>
          <w:tcPr>
            <w:tcW w:w="1263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– 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2232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7200   (950 - 14500)</w:t>
            </w:r>
          </w:p>
        </w:tc>
        <w:tc>
          <w:tcPr>
            <w:tcW w:w="1440" w:type="dxa"/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>10 – 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B01799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376CE" w:rsidRPr="00B01799" w:rsidTr="00337026">
        <w:tc>
          <w:tcPr>
            <w:tcW w:w="1365" w:type="dxa"/>
            <w:tcBorders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t3</w:t>
            </w:r>
          </w:p>
        </w:tc>
        <w:tc>
          <w:tcPr>
            <w:tcW w:w="1263" w:type="dxa"/>
            <w:tcBorders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 xml:space="preserve">10 –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B0179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232" w:type="dxa"/>
            <w:tcBorders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25000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(7000</w:t>
            </w:r>
            <w:r w:rsidRPr="00B01799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lang w:val="en-US"/>
              </w:rPr>
              <w:t>39000</w:t>
            </w:r>
            <w:r w:rsidRPr="00B0179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7376CE" w:rsidRPr="00B01799" w:rsidRDefault="007376CE" w:rsidP="0033702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1799">
              <w:rPr>
                <w:rFonts w:ascii="Times New Roman" w:hAnsi="Times New Roman" w:cs="Times New Roman"/>
                <w:lang w:val="en-US"/>
              </w:rPr>
              <w:t xml:space="preserve">10 –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B0179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</w:tbl>
    <w:p w:rsidR="007376CE" w:rsidRDefault="007376CE" w:rsidP="007376CE">
      <w:pPr>
        <w:jc w:val="both"/>
        <w:rPr>
          <w:rFonts w:ascii="Times New Roman" w:hAnsi="Times New Roman" w:cs="Times New Roman"/>
          <w:lang w:val="en-US"/>
        </w:rPr>
      </w:pPr>
    </w:p>
    <w:p w:rsidR="007376CE" w:rsidRDefault="007376CE" w:rsidP="007376CE">
      <w:pPr>
        <w:rPr>
          <w:rFonts w:ascii="Times New Roman" w:hAnsi="Times New Roman" w:cs="Times New Roman"/>
          <w:lang w:val="en-US"/>
        </w:rPr>
        <w:sectPr w:rsidR="007376CE" w:rsidSect="007376CE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376CE" w:rsidRPr="000556AA" w:rsidRDefault="007376CE" w:rsidP="007376CE">
      <w:pPr>
        <w:rPr>
          <w:rFonts w:ascii="Times New Roman" w:hAnsi="Times New Roman" w:cs="Times New Roman"/>
          <w:lang w:val="en-US"/>
        </w:rPr>
      </w:pPr>
      <w:r w:rsidRPr="000556AA">
        <w:rPr>
          <w:rFonts w:ascii="Times New Roman" w:hAnsi="Times New Roman" w:cs="Times New Roman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lang w:val="en-US"/>
        </w:rPr>
        <w:t>S3</w:t>
      </w:r>
      <w:r w:rsidRPr="000556AA">
        <w:rPr>
          <w:rFonts w:ascii="Times New Roman" w:hAnsi="Times New Roman" w:cs="Times New Roman"/>
          <w:lang w:val="en-US"/>
        </w:rPr>
        <w:t>. Historical migration estimates calculated with MI</w:t>
      </w:r>
      <w:r>
        <w:rPr>
          <w:rFonts w:ascii="Times New Roman" w:hAnsi="Times New Roman" w:cs="Times New Roman"/>
          <w:lang w:val="en-US"/>
        </w:rPr>
        <w:t>G</w:t>
      </w:r>
      <w:r w:rsidRPr="000556AA">
        <w:rPr>
          <w:rFonts w:ascii="Times New Roman" w:hAnsi="Times New Roman" w:cs="Times New Roman"/>
          <w:lang w:val="en-US"/>
        </w:rPr>
        <w:t>RATE-</w:t>
      </w:r>
      <w:r>
        <w:rPr>
          <w:rFonts w:ascii="Times New Roman" w:hAnsi="Times New Roman" w:cs="Times New Roman"/>
          <w:lang w:val="en-US"/>
        </w:rPr>
        <w:t>n</w:t>
      </w:r>
      <w:r w:rsidRPr="000556AA">
        <w:rPr>
          <w:rFonts w:ascii="Times New Roman" w:hAnsi="Times New Roman" w:cs="Times New Roman"/>
          <w:lang w:val="en-US"/>
        </w:rPr>
        <w:t xml:space="preserve"> among individuals of </w:t>
      </w:r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 xml:space="preserve">Patella </w:t>
      </w:r>
      <w:proofErr w:type="spellStart"/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>aspera</w:t>
      </w:r>
      <w:proofErr w:type="spellEnd"/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 xml:space="preserve"> </w:t>
      </w:r>
      <w:r w:rsidRPr="000556AA">
        <w:rPr>
          <w:rFonts w:ascii="Times New Roman" w:hAnsi="Times New Roman" w:cs="Times New Roman"/>
          <w:lang w:val="en-US"/>
        </w:rPr>
        <w:t xml:space="preserve">from 6 locations within </w:t>
      </w:r>
      <w:r w:rsidRPr="000556AA">
        <w:rPr>
          <w:rFonts w:ascii="Times New Roman" w:hAnsi="Times New Roman" w:cs="Times New Roman"/>
          <w:bCs/>
          <w:color w:val="000000"/>
          <w:lang w:val="en-CA" w:eastAsia="en-CA"/>
        </w:rPr>
        <w:t>Madeira Archipelago</w:t>
      </w:r>
      <w:r w:rsidRPr="000556AA">
        <w:rPr>
          <w:rFonts w:ascii="Times New Roman" w:hAnsi="Times New Roman" w:cs="Times New Roman"/>
          <w:lang w:val="en-US"/>
        </w:rPr>
        <w:t>. Source populations are shown in the left.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7376CE" w:rsidRPr="00126318" w:rsidTr="00337026">
        <w:trPr>
          <w:trHeight w:val="330"/>
        </w:trPr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26318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Rocha do </w:t>
            </w:r>
            <w:proofErr w:type="spellStart"/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Navio</w:t>
            </w:r>
            <w:proofErr w:type="spellEnd"/>
          </w:p>
        </w:tc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Porto </w:t>
            </w:r>
            <w:proofErr w:type="spellStart"/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Moniz</w:t>
            </w:r>
            <w:proofErr w:type="spellEnd"/>
          </w:p>
        </w:tc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Paúl do Mar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Garajau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Desertas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Porto Santo</w:t>
            </w:r>
          </w:p>
        </w:tc>
      </w:tr>
      <w:tr w:rsidR="007376CE" w:rsidRPr="00126318" w:rsidTr="00337026">
        <w:trPr>
          <w:trHeight w:val="330"/>
        </w:trPr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Rocha do </w:t>
            </w:r>
            <w:proofErr w:type="spellStart"/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Navio</w:t>
            </w:r>
            <w:proofErr w:type="spellEnd"/>
          </w:p>
        </w:tc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-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69.827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72.856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68.949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71.254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66.052</w:t>
            </w:r>
          </w:p>
        </w:tc>
      </w:tr>
      <w:tr w:rsidR="007376CE" w:rsidRPr="00126318" w:rsidTr="00337026">
        <w:trPr>
          <w:trHeight w:val="330"/>
        </w:trPr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Porto </w:t>
            </w:r>
            <w:proofErr w:type="spellStart"/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Moniz</w:t>
            </w:r>
            <w:proofErr w:type="spellEnd"/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57.179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-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70.938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73.363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61.72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50.838</w:t>
            </w:r>
          </w:p>
        </w:tc>
      </w:tr>
      <w:tr w:rsidR="007376CE" w:rsidRPr="00126318" w:rsidTr="00337026">
        <w:trPr>
          <w:trHeight w:val="330"/>
        </w:trPr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Paúl do Mar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48.247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70.08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-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67.012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82.451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71.879</w:t>
            </w:r>
          </w:p>
        </w:tc>
      </w:tr>
      <w:tr w:rsidR="007376CE" w:rsidRPr="00126318" w:rsidTr="00337026">
        <w:trPr>
          <w:trHeight w:val="330"/>
        </w:trPr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Garajau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60.758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54.353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67.555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-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58.447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58.044</w:t>
            </w:r>
          </w:p>
        </w:tc>
      </w:tr>
      <w:tr w:rsidR="007376CE" w:rsidRPr="00126318" w:rsidTr="00337026">
        <w:trPr>
          <w:trHeight w:val="330"/>
        </w:trPr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Desertas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67.343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70.635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70.562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52.676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-</w:t>
            </w:r>
          </w:p>
        </w:tc>
        <w:tc>
          <w:tcPr>
            <w:tcW w:w="1728" w:type="dxa"/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65.786</w:t>
            </w:r>
          </w:p>
        </w:tc>
      </w:tr>
      <w:tr w:rsidR="007376CE" w:rsidRPr="00126318" w:rsidTr="00337026">
        <w:trPr>
          <w:trHeight w:val="330"/>
        </w:trPr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Porto Santo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62.634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76.616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62.691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79.377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67.409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76CE" w:rsidRPr="00126318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126318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-</w:t>
            </w:r>
          </w:p>
        </w:tc>
      </w:tr>
    </w:tbl>
    <w:p w:rsidR="007376CE" w:rsidRPr="000556AA" w:rsidRDefault="007376CE" w:rsidP="007376CE">
      <w:pPr>
        <w:rPr>
          <w:rFonts w:ascii="Times New Roman" w:hAnsi="Times New Roman" w:cs="Times New Roman"/>
          <w:lang w:val="en-US"/>
        </w:rPr>
      </w:pPr>
    </w:p>
    <w:p w:rsidR="007376CE" w:rsidRPr="000556AA" w:rsidRDefault="007376CE" w:rsidP="007376CE">
      <w:pPr>
        <w:rPr>
          <w:rFonts w:ascii="Times New Roman" w:hAnsi="Times New Roman" w:cs="Times New Roman"/>
          <w:lang w:val="en-US"/>
        </w:rPr>
      </w:pPr>
      <w:r w:rsidRPr="000556AA">
        <w:rPr>
          <w:rFonts w:ascii="Times New Roman" w:hAnsi="Times New Roman" w:cs="Times New Roman"/>
          <w:lang w:val="en-US"/>
        </w:rPr>
        <w:t xml:space="preserve">Table </w:t>
      </w:r>
      <w:r>
        <w:rPr>
          <w:rFonts w:ascii="Times New Roman" w:hAnsi="Times New Roman" w:cs="Times New Roman"/>
          <w:lang w:val="en-US"/>
        </w:rPr>
        <w:t>S</w:t>
      </w:r>
      <w:r w:rsidRPr="000556AA">
        <w:rPr>
          <w:rFonts w:ascii="Times New Roman" w:hAnsi="Times New Roman" w:cs="Times New Roman"/>
          <w:lang w:val="en-US"/>
        </w:rPr>
        <w:t xml:space="preserve">4. Gene flow estimates calculated with BAYESASS among individuals of </w:t>
      </w:r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 xml:space="preserve">Patella </w:t>
      </w:r>
      <w:proofErr w:type="spellStart"/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>aspera</w:t>
      </w:r>
      <w:proofErr w:type="spellEnd"/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 xml:space="preserve"> </w:t>
      </w:r>
      <w:r w:rsidRPr="000556AA">
        <w:rPr>
          <w:rFonts w:ascii="Times New Roman" w:hAnsi="Times New Roman" w:cs="Times New Roman"/>
          <w:lang w:val="en-US"/>
        </w:rPr>
        <w:t xml:space="preserve">from 6 locations within </w:t>
      </w:r>
      <w:r w:rsidRPr="000556AA">
        <w:rPr>
          <w:rFonts w:ascii="Times New Roman" w:hAnsi="Times New Roman" w:cs="Times New Roman"/>
          <w:bCs/>
          <w:color w:val="000000"/>
          <w:lang w:val="en-CA" w:eastAsia="en-CA"/>
        </w:rPr>
        <w:t>Madeira Archipelago</w:t>
      </w:r>
      <w:r w:rsidRPr="000556AA">
        <w:rPr>
          <w:rFonts w:ascii="Times New Roman" w:hAnsi="Times New Roman" w:cs="Times New Roman"/>
          <w:lang w:val="en-US"/>
        </w:rPr>
        <w:t>. Source and receiving populations are shown in the left and the top respectively.</w:t>
      </w:r>
    </w:p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  <w:gridCol w:w="1760"/>
        <w:gridCol w:w="1760"/>
        <w:gridCol w:w="1760"/>
      </w:tblGrid>
      <w:tr w:rsidR="007376CE" w:rsidRPr="000556AA" w:rsidTr="00337026">
        <w:trPr>
          <w:trHeight w:val="345"/>
        </w:trPr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CL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Rocha do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Navio</w:t>
            </w:r>
            <w:proofErr w:type="spellEnd"/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Porto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Moniz</w:t>
            </w:r>
            <w:proofErr w:type="spellEnd"/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Paúl do Mar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Garajau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Desertas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Porto Santo</w:t>
            </w:r>
          </w:p>
        </w:tc>
      </w:tr>
      <w:tr w:rsidR="007376CE" w:rsidRPr="000556AA" w:rsidTr="00337026">
        <w:trPr>
          <w:trHeight w:val="330"/>
        </w:trPr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Rocha do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Navio</w:t>
            </w:r>
            <w:proofErr w:type="spellEnd"/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0.6819(0.0147)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0.0172(0.0163)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0.0139(0.0133)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0.0162(0.0154)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0.0166(0.0156)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0.0138(0.0133)</w:t>
            </w:r>
          </w:p>
        </w:tc>
      </w:tr>
      <w:tr w:rsidR="007376CE" w:rsidRPr="000556AA" w:rsidTr="00337026">
        <w:trPr>
          <w:trHeight w:val="31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Porto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Moniz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0.0153(0.0145)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0.6838(0.0163)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0.0137(0.0132)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0.0160(0.0151)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0.0166(0.0154)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0.0137(0.0131)</w:t>
            </w:r>
          </w:p>
        </w:tc>
      </w:tr>
      <w:tr w:rsidR="007376CE" w:rsidRPr="000556AA" w:rsidTr="00337026">
        <w:trPr>
          <w:trHeight w:val="31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Paúl do 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0.2569(0.0291)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0.2480(0.0321)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0.9274(0.0277)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0.2520(0.0308)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0.2512(0.0291)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0.2648(0.0269)</w:t>
            </w:r>
          </w:p>
        </w:tc>
      </w:tr>
      <w:tr w:rsidR="007376CE" w:rsidRPr="000556AA" w:rsidTr="00337026">
        <w:trPr>
          <w:trHeight w:val="31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Garajau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0.0153(0.0145)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0.0169(0.0161)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0.0138(0.0133)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0.6828(0.0153)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0.0175(0.0161)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0.0136(0.0132)</w:t>
            </w:r>
          </w:p>
        </w:tc>
      </w:tr>
      <w:tr w:rsidR="007376CE" w:rsidRPr="000556AA" w:rsidTr="00337026">
        <w:trPr>
          <w:trHeight w:val="315"/>
        </w:trPr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Desertas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0.0151(0.0144)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0.0168(0.0161)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0.0140(0.0134)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0.0160(0.0152)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0.6811(0.0139)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0.0137(0.0130)</w:t>
            </w:r>
          </w:p>
        </w:tc>
      </w:tr>
      <w:tr w:rsidR="007376CE" w:rsidRPr="000556AA" w:rsidTr="00337026">
        <w:trPr>
          <w:trHeight w:val="330"/>
        </w:trPr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Porto Santo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0.0155(0.0148)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0.0174(0.0166)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0.0172(0.0157)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0.0171(0.0162)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0.0170(0.0157)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6CE" w:rsidRPr="000556AA" w:rsidRDefault="007376CE" w:rsidP="00337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0.6805(0.0134)</w:t>
            </w:r>
          </w:p>
        </w:tc>
      </w:tr>
    </w:tbl>
    <w:p w:rsidR="007376CE" w:rsidRDefault="007376CE">
      <w:pPr>
        <w:rPr>
          <w:rFonts w:ascii="Times New Roman" w:hAnsi="Times New Roman" w:cs="Times New Roman"/>
          <w:lang w:val="en-US"/>
        </w:rPr>
        <w:sectPr w:rsidR="007376CE" w:rsidSect="007376CE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</w:p>
    <w:p w:rsidR="006942B6" w:rsidRPr="000556AA" w:rsidRDefault="00E540FF" w:rsidP="00126318">
      <w:pPr>
        <w:jc w:val="both"/>
        <w:rPr>
          <w:rFonts w:ascii="Times New Roman" w:hAnsi="Times New Roman" w:cs="Times New Roman"/>
          <w:lang w:val="en-US"/>
        </w:rPr>
      </w:pPr>
      <w:r w:rsidRPr="000556AA">
        <w:rPr>
          <w:rFonts w:ascii="Times New Roman" w:hAnsi="Times New Roman" w:cs="Times New Roman"/>
          <w:lang w:val="en-US"/>
        </w:rPr>
        <w:lastRenderedPageBreak/>
        <w:t xml:space="preserve">Table </w:t>
      </w:r>
      <w:r w:rsidR="00126318">
        <w:rPr>
          <w:rFonts w:ascii="Times New Roman" w:hAnsi="Times New Roman" w:cs="Times New Roman"/>
          <w:lang w:val="en-US"/>
        </w:rPr>
        <w:t>S</w:t>
      </w:r>
      <w:r w:rsidR="007376CE">
        <w:rPr>
          <w:rFonts w:ascii="Times New Roman" w:hAnsi="Times New Roman" w:cs="Times New Roman"/>
          <w:lang w:val="en-US"/>
        </w:rPr>
        <w:t>5</w:t>
      </w:r>
      <w:r w:rsidRPr="000556AA">
        <w:rPr>
          <w:rFonts w:ascii="Times New Roman" w:hAnsi="Times New Roman" w:cs="Times New Roman"/>
          <w:lang w:val="en-US"/>
        </w:rPr>
        <w:t xml:space="preserve">. </w:t>
      </w:r>
      <w:r w:rsidR="006942B6" w:rsidRPr="000556AA">
        <w:rPr>
          <w:rFonts w:ascii="Times New Roman" w:hAnsi="Times New Roman" w:cs="Times New Roman"/>
          <w:lang w:val="en-US"/>
        </w:rPr>
        <w:t>Power analysis</w:t>
      </w:r>
      <w:r w:rsidRPr="000556AA">
        <w:rPr>
          <w:rFonts w:ascii="Times New Roman" w:hAnsi="Times New Roman" w:cs="Times New Roman"/>
          <w:lang w:val="en-US"/>
        </w:rPr>
        <w:t xml:space="preserve"> results using POWSIM to evaluate the power of 1</w:t>
      </w:r>
      <w:r w:rsidR="002F3C30">
        <w:rPr>
          <w:rFonts w:ascii="Times New Roman" w:hAnsi="Times New Roman" w:cs="Times New Roman"/>
          <w:lang w:val="en-US"/>
        </w:rPr>
        <w:t>2</w:t>
      </w:r>
      <w:r w:rsidRPr="000556AA">
        <w:rPr>
          <w:rFonts w:ascii="Times New Roman" w:hAnsi="Times New Roman" w:cs="Times New Roman"/>
          <w:lang w:val="en-US"/>
        </w:rPr>
        <w:t xml:space="preserve"> microsatellite markers of </w:t>
      </w:r>
      <w:r w:rsidRPr="000556AA">
        <w:rPr>
          <w:rFonts w:ascii="Times New Roman" w:hAnsi="Times New Roman" w:cs="Times New Roman"/>
          <w:i/>
          <w:lang w:val="en-US"/>
        </w:rPr>
        <w:t xml:space="preserve">P. </w:t>
      </w:r>
      <w:proofErr w:type="spellStart"/>
      <w:r w:rsidRPr="000556AA">
        <w:rPr>
          <w:rFonts w:ascii="Times New Roman" w:hAnsi="Times New Roman" w:cs="Times New Roman"/>
          <w:i/>
          <w:lang w:val="en-US"/>
        </w:rPr>
        <w:t>aspera</w:t>
      </w:r>
      <w:proofErr w:type="spellEnd"/>
      <w:r w:rsidRPr="000556AA">
        <w:rPr>
          <w:rFonts w:ascii="Times New Roman" w:hAnsi="Times New Roman" w:cs="Times New Roman"/>
          <w:lang w:val="en-US"/>
        </w:rPr>
        <w:t xml:space="preserve"> to detect FST after a 10-50 generations from a drift event, assessed with Chi</w:t>
      </w:r>
      <w:r w:rsidRPr="000556AA">
        <w:rPr>
          <w:rFonts w:ascii="Times New Roman" w:hAnsi="Times New Roman" w:cs="Times New Roman"/>
          <w:vertAlign w:val="superscript"/>
          <w:lang w:val="en-US"/>
        </w:rPr>
        <w:t>2</w:t>
      </w:r>
      <w:r w:rsidRPr="000556AA">
        <w:rPr>
          <w:rFonts w:ascii="Times New Roman" w:hAnsi="Times New Roman" w:cs="Times New Roman"/>
          <w:lang w:val="en-US"/>
        </w:rPr>
        <w:t xml:space="preserve"> and Fischer probabilistic statistics.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530"/>
        <w:gridCol w:w="1350"/>
        <w:gridCol w:w="1440"/>
      </w:tblGrid>
      <w:tr w:rsidR="00375CDA" w:rsidRPr="000556AA" w:rsidTr="00EC0F7E"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:rsidR="00375CDA" w:rsidRPr="000556AA" w:rsidRDefault="00375C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556AA">
              <w:rPr>
                <w:rFonts w:ascii="Times New Roman" w:hAnsi="Times New Roman" w:cs="Times New Roman"/>
                <w:b/>
                <w:lang w:val="en-US"/>
              </w:rPr>
              <w:t>Generation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375CDA" w:rsidRPr="000556AA" w:rsidRDefault="00375C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556AA">
              <w:rPr>
                <w:rFonts w:ascii="Times New Roman" w:hAnsi="Times New Roman" w:cs="Times New Roman"/>
                <w:b/>
                <w:i/>
                <w:lang w:val="en-US"/>
              </w:rPr>
              <w:t>F</w:t>
            </w:r>
            <w:r w:rsidRPr="000556AA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ST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75CDA" w:rsidRPr="000556AA" w:rsidRDefault="00375C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556AA">
              <w:rPr>
                <w:rFonts w:ascii="Times New Roman" w:hAnsi="Times New Roman" w:cs="Times New Roman"/>
                <w:b/>
                <w:lang w:val="en-US"/>
              </w:rPr>
              <w:t>Chi</w:t>
            </w:r>
            <w:r w:rsidRPr="000556AA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375CDA" w:rsidRPr="000556AA" w:rsidRDefault="00375C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556AA">
              <w:rPr>
                <w:rFonts w:ascii="Times New Roman" w:hAnsi="Times New Roman" w:cs="Times New Roman"/>
                <w:b/>
                <w:lang w:val="en-US"/>
              </w:rPr>
              <w:t>Fischer</w:t>
            </w:r>
          </w:p>
        </w:tc>
      </w:tr>
      <w:tr w:rsidR="00375CDA" w:rsidRPr="000556AA" w:rsidTr="00EC0F7E">
        <w:tc>
          <w:tcPr>
            <w:tcW w:w="1620" w:type="dxa"/>
            <w:tcBorders>
              <w:top w:val="single" w:sz="12" w:space="0" w:color="auto"/>
            </w:tcBorders>
          </w:tcPr>
          <w:p w:rsidR="00375CDA" w:rsidRPr="000556AA" w:rsidRDefault="00375CDA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375CDA" w:rsidRPr="000556AA" w:rsidRDefault="00375CDA" w:rsidP="00DA29C9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0.00</w:t>
            </w:r>
            <w:r w:rsidR="00DA29C9" w:rsidRPr="000556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:rsidR="00375CDA" w:rsidRPr="000556AA" w:rsidRDefault="00375CDA" w:rsidP="00DA29C9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</w:t>
            </w:r>
            <w:r w:rsidR="00DA29C9" w:rsidRPr="000556AA">
              <w:rPr>
                <w:rFonts w:ascii="Times New Roman" w:hAnsi="Times New Roman" w:cs="Times New Roman"/>
                <w:lang w:val="en-US"/>
              </w:rPr>
              <w:t>567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375CDA" w:rsidRPr="000556AA" w:rsidRDefault="00375CDA" w:rsidP="00DA29C9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</w:t>
            </w:r>
            <w:r w:rsidR="00DA29C9" w:rsidRPr="000556AA">
              <w:rPr>
                <w:rFonts w:ascii="Times New Roman" w:hAnsi="Times New Roman" w:cs="Times New Roman"/>
                <w:lang w:val="en-US"/>
              </w:rPr>
              <w:t>533</w:t>
            </w:r>
          </w:p>
        </w:tc>
      </w:tr>
      <w:tr w:rsidR="00375CDA" w:rsidRPr="000556AA" w:rsidTr="00EC0F7E">
        <w:tc>
          <w:tcPr>
            <w:tcW w:w="1620" w:type="dxa"/>
          </w:tcPr>
          <w:p w:rsidR="00375CDA" w:rsidRPr="000556AA" w:rsidRDefault="00375CDA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530" w:type="dxa"/>
          </w:tcPr>
          <w:p w:rsidR="00375CDA" w:rsidRPr="000556AA" w:rsidRDefault="00375CDA" w:rsidP="00DA29C9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0.0</w:t>
            </w:r>
            <w:r w:rsidR="00FD0796" w:rsidRPr="000556AA">
              <w:rPr>
                <w:rFonts w:ascii="Times New Roman" w:hAnsi="Times New Roman" w:cs="Times New Roman"/>
                <w:lang w:val="en-US"/>
              </w:rPr>
              <w:t>05</w:t>
            </w:r>
          </w:p>
        </w:tc>
        <w:tc>
          <w:tcPr>
            <w:tcW w:w="1350" w:type="dxa"/>
          </w:tcPr>
          <w:p w:rsidR="00375CDA" w:rsidRPr="000556AA" w:rsidRDefault="00DA29C9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0.967</w:t>
            </w:r>
          </w:p>
        </w:tc>
        <w:tc>
          <w:tcPr>
            <w:tcW w:w="1440" w:type="dxa"/>
          </w:tcPr>
          <w:p w:rsidR="00375CDA" w:rsidRPr="000556AA" w:rsidRDefault="00DA29C9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0.967</w:t>
            </w:r>
          </w:p>
        </w:tc>
      </w:tr>
      <w:tr w:rsidR="00375CDA" w:rsidRPr="000556AA" w:rsidTr="00EC0F7E">
        <w:tc>
          <w:tcPr>
            <w:tcW w:w="1620" w:type="dxa"/>
          </w:tcPr>
          <w:p w:rsidR="00375CDA" w:rsidRPr="000556AA" w:rsidRDefault="004C5828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30" w:type="dxa"/>
          </w:tcPr>
          <w:p w:rsidR="00375CDA" w:rsidRPr="000556AA" w:rsidRDefault="00FD0796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0.007</w:t>
            </w:r>
          </w:p>
        </w:tc>
        <w:tc>
          <w:tcPr>
            <w:tcW w:w="1350" w:type="dxa"/>
          </w:tcPr>
          <w:p w:rsidR="00375CDA" w:rsidRPr="000556AA" w:rsidRDefault="004C5828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1.000</w:t>
            </w:r>
          </w:p>
        </w:tc>
        <w:tc>
          <w:tcPr>
            <w:tcW w:w="1440" w:type="dxa"/>
          </w:tcPr>
          <w:p w:rsidR="00375CDA" w:rsidRPr="000556AA" w:rsidRDefault="004C5828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1.000</w:t>
            </w:r>
          </w:p>
        </w:tc>
      </w:tr>
      <w:tr w:rsidR="004323DF" w:rsidRPr="000556AA" w:rsidTr="00EC0F7E">
        <w:tc>
          <w:tcPr>
            <w:tcW w:w="1620" w:type="dxa"/>
          </w:tcPr>
          <w:p w:rsidR="004323DF" w:rsidRPr="000556AA" w:rsidRDefault="004323DF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530" w:type="dxa"/>
          </w:tcPr>
          <w:p w:rsidR="004323DF" w:rsidRPr="000556AA" w:rsidRDefault="006B60F6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0.010</w:t>
            </w:r>
          </w:p>
        </w:tc>
        <w:tc>
          <w:tcPr>
            <w:tcW w:w="1350" w:type="dxa"/>
          </w:tcPr>
          <w:p w:rsidR="004323DF" w:rsidRPr="000556AA" w:rsidRDefault="004323DF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1.000</w:t>
            </w:r>
          </w:p>
        </w:tc>
        <w:tc>
          <w:tcPr>
            <w:tcW w:w="1440" w:type="dxa"/>
          </w:tcPr>
          <w:p w:rsidR="004323DF" w:rsidRPr="000556AA" w:rsidRDefault="004323DF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1.000</w:t>
            </w:r>
          </w:p>
        </w:tc>
      </w:tr>
      <w:tr w:rsidR="004323DF" w:rsidRPr="000556AA" w:rsidTr="00EC0F7E">
        <w:tc>
          <w:tcPr>
            <w:tcW w:w="1620" w:type="dxa"/>
            <w:tcBorders>
              <w:bottom w:val="single" w:sz="12" w:space="0" w:color="auto"/>
            </w:tcBorders>
          </w:tcPr>
          <w:p w:rsidR="004323DF" w:rsidRPr="000556AA" w:rsidRDefault="004323DF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4323DF" w:rsidRPr="000556AA" w:rsidRDefault="0022052C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0.012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4323DF" w:rsidRPr="000556AA" w:rsidRDefault="004323DF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1.000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4323DF" w:rsidRPr="000556AA" w:rsidRDefault="004323DF" w:rsidP="004323DF">
            <w:pPr>
              <w:rPr>
                <w:rFonts w:ascii="Times New Roman" w:hAnsi="Times New Roman" w:cs="Times New Roman"/>
                <w:lang w:val="en-US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t>1.000</w:t>
            </w:r>
          </w:p>
        </w:tc>
      </w:tr>
    </w:tbl>
    <w:p w:rsidR="007376CE" w:rsidRDefault="007376CE" w:rsidP="00044A99">
      <w:pPr>
        <w:rPr>
          <w:rFonts w:ascii="Times New Roman" w:hAnsi="Times New Roman" w:cs="Times New Roman"/>
          <w:lang w:val="en-US"/>
        </w:rPr>
      </w:pPr>
    </w:p>
    <w:p w:rsidR="00044A99" w:rsidRPr="000556AA" w:rsidRDefault="00044A99" w:rsidP="00044A99">
      <w:pPr>
        <w:rPr>
          <w:rFonts w:ascii="Times New Roman" w:hAnsi="Times New Roman" w:cs="Times New Roman"/>
          <w:lang w:val="en-US"/>
        </w:rPr>
      </w:pPr>
      <w:r w:rsidRPr="000556AA">
        <w:rPr>
          <w:rFonts w:ascii="Times New Roman" w:hAnsi="Times New Roman" w:cs="Times New Roman"/>
          <w:lang w:val="en-US"/>
        </w:rPr>
        <w:t xml:space="preserve">Table </w:t>
      </w:r>
      <w:r w:rsidR="00126318">
        <w:rPr>
          <w:rFonts w:ascii="Times New Roman" w:hAnsi="Times New Roman" w:cs="Times New Roman"/>
          <w:lang w:val="en-US"/>
        </w:rPr>
        <w:t>S</w:t>
      </w:r>
      <w:r w:rsidR="007376CE">
        <w:rPr>
          <w:rFonts w:ascii="Times New Roman" w:hAnsi="Times New Roman" w:cs="Times New Roman"/>
          <w:lang w:val="en-US"/>
        </w:rPr>
        <w:t>6</w:t>
      </w:r>
      <w:r w:rsidRPr="000556AA">
        <w:rPr>
          <w:rFonts w:ascii="Times New Roman" w:hAnsi="Times New Roman" w:cs="Times New Roman"/>
          <w:lang w:val="en-US"/>
        </w:rPr>
        <w:t xml:space="preserve">. </w:t>
      </w:r>
      <w:r w:rsidRPr="000556AA">
        <w:rPr>
          <w:rFonts w:ascii="Times New Roman" w:hAnsi="Times New Roman" w:cs="Times New Roman"/>
          <w:i/>
          <w:lang w:val="en-US"/>
        </w:rPr>
        <w:t>F</w:t>
      </w:r>
      <w:r w:rsidRPr="000556AA">
        <w:rPr>
          <w:rFonts w:ascii="Times New Roman" w:hAnsi="Times New Roman" w:cs="Times New Roman"/>
          <w:i/>
          <w:vertAlign w:val="subscript"/>
          <w:lang w:val="en-US"/>
        </w:rPr>
        <w:t>ST</w:t>
      </w:r>
      <w:r w:rsidRPr="000556AA">
        <w:rPr>
          <w:rFonts w:ascii="Times New Roman" w:hAnsi="Times New Roman" w:cs="Times New Roman"/>
          <w:lang w:val="en-US"/>
        </w:rPr>
        <w:t xml:space="preserve">-based genetic distance among </w:t>
      </w:r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 xml:space="preserve">Patella </w:t>
      </w:r>
      <w:proofErr w:type="spellStart"/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>aspera</w:t>
      </w:r>
      <w:proofErr w:type="spellEnd"/>
      <w:r w:rsidRPr="000556AA">
        <w:rPr>
          <w:rFonts w:ascii="Times New Roman" w:hAnsi="Times New Roman" w:cs="Times New Roman"/>
          <w:bCs/>
          <w:i/>
          <w:color w:val="000000"/>
          <w:lang w:val="en-CA" w:eastAsia="en-CA"/>
        </w:rPr>
        <w:t xml:space="preserve"> </w:t>
      </w:r>
      <w:r w:rsidRPr="000556AA">
        <w:rPr>
          <w:rFonts w:ascii="Times New Roman" w:hAnsi="Times New Roman" w:cs="Times New Roman"/>
          <w:bCs/>
          <w:color w:val="000000"/>
          <w:lang w:val="en-CA" w:eastAsia="en-CA"/>
        </w:rPr>
        <w:t xml:space="preserve">individuals from 6 </w:t>
      </w:r>
      <w:r w:rsidRPr="000556AA">
        <w:rPr>
          <w:rFonts w:ascii="Times New Roman" w:hAnsi="Times New Roman" w:cs="Times New Roman"/>
          <w:lang w:val="en-US"/>
        </w:rPr>
        <w:t xml:space="preserve">populations located in the </w:t>
      </w:r>
      <w:r w:rsidRPr="000556AA">
        <w:rPr>
          <w:rFonts w:ascii="Times New Roman" w:hAnsi="Times New Roman" w:cs="Times New Roman"/>
          <w:bCs/>
          <w:color w:val="000000"/>
          <w:lang w:val="en-CA" w:eastAsia="en-CA"/>
        </w:rPr>
        <w:t>Madeira Archipelago</w:t>
      </w:r>
      <w:r w:rsidRPr="000556AA">
        <w:rPr>
          <w:rFonts w:ascii="Times New Roman" w:hAnsi="Times New Roman" w:cs="Times New Roman"/>
          <w:lang w:val="en-US"/>
        </w:rPr>
        <w:t>. Values range from no genetic distance (</w:t>
      </w:r>
      <w:r w:rsidRPr="000556AA">
        <w:rPr>
          <w:rFonts w:ascii="Times New Roman" w:hAnsi="Times New Roman" w:cs="Times New Roman"/>
          <w:i/>
          <w:lang w:val="en-US"/>
        </w:rPr>
        <w:t>F</w:t>
      </w:r>
      <w:r w:rsidRPr="000556AA">
        <w:rPr>
          <w:rFonts w:ascii="Times New Roman" w:hAnsi="Times New Roman" w:cs="Times New Roman"/>
          <w:i/>
          <w:vertAlign w:val="subscript"/>
          <w:lang w:val="en-US"/>
        </w:rPr>
        <w:t>ST</w:t>
      </w:r>
      <w:r w:rsidRPr="000556AA">
        <w:rPr>
          <w:rFonts w:ascii="Times New Roman" w:hAnsi="Times New Roman" w:cs="Times New Roman"/>
          <w:lang w:val="en-US"/>
        </w:rPr>
        <w:t xml:space="preserve"> = 0) to high genetic distance (</w:t>
      </w:r>
      <w:r w:rsidRPr="000556AA">
        <w:rPr>
          <w:rFonts w:ascii="Times New Roman" w:hAnsi="Times New Roman" w:cs="Times New Roman"/>
          <w:i/>
          <w:lang w:val="en-US"/>
        </w:rPr>
        <w:t>F</w:t>
      </w:r>
      <w:r w:rsidRPr="000556AA">
        <w:rPr>
          <w:rFonts w:ascii="Times New Roman" w:hAnsi="Times New Roman" w:cs="Times New Roman"/>
          <w:i/>
          <w:vertAlign w:val="subscript"/>
          <w:lang w:val="en-US"/>
        </w:rPr>
        <w:t>ST</w:t>
      </w:r>
      <w:r w:rsidRPr="000556AA">
        <w:rPr>
          <w:rFonts w:ascii="Times New Roman" w:hAnsi="Times New Roman" w:cs="Times New Roman"/>
          <w:lang w:val="en-US"/>
        </w:rPr>
        <w:t xml:space="preserve"> = 1). Significant values with a p-value ≤ 0.05 are shown in bold.</w:t>
      </w:r>
    </w:p>
    <w:tbl>
      <w:tblPr>
        <w:tblpPr w:leftFromText="141" w:rightFromText="141" w:vertAnchor="text" w:horzAnchor="margin" w:tblpY="116"/>
        <w:tblW w:w="12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8"/>
        <w:gridCol w:w="1758"/>
        <w:gridCol w:w="1758"/>
        <w:gridCol w:w="1758"/>
        <w:gridCol w:w="1758"/>
        <w:gridCol w:w="1758"/>
        <w:gridCol w:w="1758"/>
      </w:tblGrid>
      <w:tr w:rsidR="00EF0864" w:rsidRPr="000556AA" w:rsidTr="00EF0864">
        <w:trPr>
          <w:trHeight w:val="300"/>
        </w:trPr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CL"/>
              </w:rPr>
            </w:pPr>
            <w:r w:rsidRPr="000556AA">
              <w:rPr>
                <w:rFonts w:ascii="Times New Roman" w:hAnsi="Times New Roman" w:cs="Times New Roman"/>
                <w:lang w:val="en-US"/>
              </w:rPr>
              <w:br w:type="page"/>
            </w: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Rocha do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Navio</w:t>
            </w:r>
            <w:proofErr w:type="spellEnd"/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Porto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Moniz</w:t>
            </w:r>
            <w:proofErr w:type="spellEnd"/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Paúl do Mar</w:t>
            </w: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Garajau</w:t>
            </w: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Desertas</w:t>
            </w: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Porto Santo</w:t>
            </w:r>
          </w:p>
        </w:tc>
      </w:tr>
      <w:tr w:rsidR="00EF0864" w:rsidRPr="000556AA" w:rsidTr="00EF0864">
        <w:trPr>
          <w:trHeight w:val="300"/>
        </w:trPr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Rocha do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Navio</w:t>
            </w:r>
            <w:proofErr w:type="spellEnd"/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7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</w:tr>
      <w:tr w:rsidR="00EF0864" w:rsidRPr="000556AA" w:rsidTr="00EF0864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 xml:space="preserve">Porto </w:t>
            </w:r>
            <w:proofErr w:type="spellStart"/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Moniz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</w:tr>
      <w:tr w:rsidR="00EF0864" w:rsidRPr="000556AA" w:rsidTr="00EF0864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Paúl do Mar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</w:tr>
      <w:tr w:rsidR="00EF0864" w:rsidRPr="000556AA" w:rsidTr="00EF0864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Garajau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</w:tr>
      <w:tr w:rsidR="00EF0864" w:rsidRPr="000556AA" w:rsidTr="00EF0864">
        <w:trPr>
          <w:trHeight w:val="300"/>
        </w:trPr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Desertas</w:t>
            </w: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0,006</w:t>
            </w: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0,005</w:t>
            </w: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0,001</w:t>
            </w: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</w:p>
        </w:tc>
      </w:tr>
      <w:tr w:rsidR="00EF0864" w:rsidRPr="000556AA" w:rsidTr="00EF0864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Porto Santo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b/>
                <w:color w:val="000000"/>
                <w:lang w:val="es-CL" w:eastAsia="es-CL"/>
              </w:rPr>
              <w:t>0,017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b/>
                <w:color w:val="000000"/>
                <w:lang w:val="es-CL" w:eastAsia="es-CL"/>
              </w:rPr>
              <w:t>0,014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0,121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864" w:rsidRPr="000556AA" w:rsidRDefault="00EF0864" w:rsidP="00EF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</w:pPr>
            <w:r w:rsidRPr="000556AA">
              <w:rPr>
                <w:rFonts w:ascii="Times New Roman" w:eastAsia="Times New Roman" w:hAnsi="Times New Roman" w:cs="Times New Roman"/>
                <w:color w:val="000000"/>
                <w:lang w:val="es-CL" w:eastAsia="es-CL"/>
              </w:rPr>
              <w:t>0,000</w:t>
            </w:r>
          </w:p>
        </w:tc>
      </w:tr>
    </w:tbl>
    <w:p w:rsidR="007376CE" w:rsidRDefault="007376CE" w:rsidP="00044A99">
      <w:pPr>
        <w:rPr>
          <w:rFonts w:ascii="Times New Roman" w:hAnsi="Times New Roman" w:cs="Times New Roman"/>
        </w:rPr>
        <w:sectPr w:rsidR="007376CE" w:rsidSect="007376CE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</w:p>
    <w:p w:rsidR="007E3B70" w:rsidRPr="007376CE" w:rsidRDefault="00046F7E" w:rsidP="00044A99">
      <w:pPr>
        <w:rPr>
          <w:rFonts w:ascii="Times New Roman" w:hAnsi="Times New Roman" w:cs="Times New Roman"/>
          <w:lang w:val="en-US"/>
        </w:rPr>
      </w:pPr>
      <w:r w:rsidRPr="00046F7E">
        <w:rPr>
          <w:rFonts w:ascii="Times New Roman" w:hAnsi="Times New Roman" w:cs="Times New Roman"/>
          <w:b/>
          <w:lang w:val="en-US"/>
        </w:rPr>
        <w:lastRenderedPageBreak/>
        <w:t>SUPPLEMENTARY FIGURES</w:t>
      </w:r>
    </w:p>
    <w:p w:rsidR="00046F7E" w:rsidRPr="00046F7E" w:rsidRDefault="00742B48" w:rsidP="00044A99">
      <w:pPr>
        <w:rPr>
          <w:rFonts w:ascii="Times New Roman" w:hAnsi="Times New Roman" w:cs="Times New Roman"/>
          <w:lang w:val="en-US"/>
        </w:rPr>
      </w:pPr>
      <w:r w:rsidRPr="00742B48">
        <w:rPr>
          <w:rFonts w:ascii="Times New Roman" w:hAnsi="Times New Roman" w:cs="Times New Roman"/>
          <w:noProof/>
          <w:lang w:val="es-CL" w:eastAsia="es-CL"/>
        </w:rPr>
        <w:drawing>
          <wp:inline distT="0" distB="0" distL="0" distR="0">
            <wp:extent cx="3248025" cy="25627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05" cy="256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7E" w:rsidRDefault="00046F7E" w:rsidP="00044A99">
      <w:pPr>
        <w:rPr>
          <w:rFonts w:ascii="Times New Roman" w:hAnsi="Times New Roman" w:cs="Times New Roman"/>
          <w:lang w:val="en-US"/>
        </w:rPr>
      </w:pPr>
      <w:r w:rsidRPr="00046F7E">
        <w:rPr>
          <w:rFonts w:ascii="Times New Roman" w:hAnsi="Times New Roman" w:cs="Times New Roman"/>
          <w:lang w:val="en-US"/>
        </w:rPr>
        <w:t xml:space="preserve">Figure S1. Delta k (number of clusters) detected with STRUCTURE using </w:t>
      </w:r>
      <w:r>
        <w:rPr>
          <w:rFonts w:ascii="Times New Roman" w:hAnsi="Times New Roman" w:cs="Times New Roman"/>
          <w:lang w:val="en-US"/>
        </w:rPr>
        <w:t>STRUCTUR Harvester</w:t>
      </w:r>
    </w:p>
    <w:p w:rsidR="00284C54" w:rsidRDefault="00284C54" w:rsidP="00044A9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67059B" w:rsidRPr="007376CE" w:rsidTr="0067059B">
        <w:tc>
          <w:tcPr>
            <w:tcW w:w="6497" w:type="dxa"/>
          </w:tcPr>
          <w:p w:rsidR="0067059B" w:rsidRPr="007376CE" w:rsidRDefault="0067059B" w:rsidP="00044A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s-CL" w:eastAsia="es-CL"/>
              </w:rPr>
              <w:drawing>
                <wp:inline distT="0" distB="0" distL="0" distR="0">
                  <wp:extent cx="3666751" cy="3694183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stmodDIREC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751" cy="369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:rsidR="0067059B" w:rsidRPr="007376CE" w:rsidRDefault="0067059B" w:rsidP="00044A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s-CL" w:eastAsia="es-CL"/>
              </w:rPr>
              <w:drawing>
                <wp:inline distT="0" distB="0" distL="0" distR="0">
                  <wp:extent cx="3666751" cy="3694183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stmo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751" cy="369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4C54" w:rsidRPr="007376CE" w:rsidRDefault="00284C54" w:rsidP="00044A99">
      <w:pPr>
        <w:rPr>
          <w:rFonts w:ascii="Times New Roman" w:hAnsi="Times New Roman" w:cs="Times New Roman"/>
          <w:lang w:val="en-US"/>
        </w:rPr>
      </w:pPr>
    </w:p>
    <w:p w:rsidR="00046F7E" w:rsidRPr="00046F7E" w:rsidRDefault="00046F7E" w:rsidP="00046F7E">
      <w:pPr>
        <w:rPr>
          <w:rFonts w:ascii="Times New Roman" w:hAnsi="Times New Roman" w:cs="Times New Roman"/>
          <w:lang w:val="en-US"/>
        </w:rPr>
        <w:sectPr w:rsidR="00046F7E" w:rsidRPr="00046F7E" w:rsidSect="007376CE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 w:rsidRPr="00046F7E">
        <w:rPr>
          <w:rFonts w:ascii="Times New Roman" w:hAnsi="Times New Roman" w:cs="Times New Roman"/>
          <w:lang w:val="en-US"/>
        </w:rPr>
        <w:t xml:space="preserve">Figure </w:t>
      </w:r>
      <w:r>
        <w:rPr>
          <w:rFonts w:ascii="Times New Roman" w:hAnsi="Times New Roman" w:cs="Times New Roman"/>
          <w:lang w:val="en-US"/>
        </w:rPr>
        <w:t>S</w:t>
      </w:r>
      <w:r w:rsidR="005D32D8">
        <w:rPr>
          <w:rFonts w:ascii="Times New Roman" w:hAnsi="Times New Roman" w:cs="Times New Roman"/>
          <w:lang w:val="en-US"/>
        </w:rPr>
        <w:t>2</w:t>
      </w:r>
      <w:r w:rsidRPr="00046F7E">
        <w:rPr>
          <w:rFonts w:ascii="Times New Roman" w:hAnsi="Times New Roman" w:cs="Times New Roman"/>
          <w:lang w:val="en-US"/>
        </w:rPr>
        <w:t>. Most likely scenario asse</w:t>
      </w:r>
      <w:r>
        <w:rPr>
          <w:rFonts w:ascii="Times New Roman" w:hAnsi="Times New Roman" w:cs="Times New Roman"/>
          <w:lang w:val="en-US"/>
        </w:rPr>
        <w:t>s</w:t>
      </w:r>
      <w:r w:rsidRPr="00046F7E">
        <w:rPr>
          <w:rFonts w:ascii="Times New Roman" w:hAnsi="Times New Roman" w:cs="Times New Roman"/>
          <w:lang w:val="en-US"/>
        </w:rPr>
        <w:t>se</w:t>
      </w:r>
      <w:r>
        <w:rPr>
          <w:rFonts w:ascii="Times New Roman" w:hAnsi="Times New Roman" w:cs="Times New Roman"/>
          <w:lang w:val="en-US"/>
        </w:rPr>
        <w:t>d</w:t>
      </w:r>
      <w:r w:rsidRPr="00046F7E">
        <w:rPr>
          <w:rFonts w:ascii="Times New Roman" w:hAnsi="Times New Roman" w:cs="Times New Roman"/>
          <w:lang w:val="en-US"/>
        </w:rPr>
        <w:t xml:space="preserve"> with DI</w:t>
      </w:r>
      <w:r w:rsidR="007376CE">
        <w:rPr>
          <w:rFonts w:ascii="Times New Roman" w:hAnsi="Times New Roman" w:cs="Times New Roman"/>
          <w:lang w:val="en-US"/>
        </w:rPr>
        <w:t xml:space="preserve">YABC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for </w:t>
      </w:r>
      <w:r w:rsidRPr="00046F7E">
        <w:rPr>
          <w:rFonts w:ascii="Times New Roman" w:hAnsi="Times New Roman" w:cs="Times New Roman"/>
          <w:i/>
          <w:sz w:val="24"/>
          <w:szCs w:val="24"/>
          <w:lang w:val="en-CA"/>
        </w:rPr>
        <w:t xml:space="preserve">Patella </w:t>
      </w:r>
      <w:proofErr w:type="spellStart"/>
      <w:r w:rsidRPr="00046F7E">
        <w:rPr>
          <w:rFonts w:ascii="Times New Roman" w:hAnsi="Times New Roman" w:cs="Times New Roman"/>
          <w:i/>
          <w:sz w:val="24"/>
          <w:szCs w:val="24"/>
          <w:lang w:val="en-CA"/>
        </w:rPr>
        <w:t>aspera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Archipleago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of Madeira</w:t>
      </w:r>
      <w:r w:rsidR="0067059B">
        <w:rPr>
          <w:rFonts w:ascii="Times New Roman" w:hAnsi="Times New Roman" w:cs="Times New Roman"/>
          <w:sz w:val="24"/>
          <w:szCs w:val="24"/>
          <w:lang w:val="en-CA"/>
        </w:rPr>
        <w:t xml:space="preserve"> using the direct and logistic approach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046F7E" w:rsidRPr="00046F7E" w:rsidRDefault="00046F7E" w:rsidP="00044A99">
      <w:pPr>
        <w:rPr>
          <w:rFonts w:ascii="Times New Roman" w:hAnsi="Times New Roman" w:cs="Times New Roman"/>
          <w:lang w:val="en-US"/>
        </w:rPr>
      </w:pPr>
    </w:p>
    <w:p w:rsidR="00EF0864" w:rsidRPr="00046F7E" w:rsidRDefault="00D160B3" w:rsidP="00044A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s-CL" w:eastAsia="es-CL"/>
        </w:rPr>
        <w:drawing>
          <wp:inline distT="0" distB="0" distL="0" distR="0">
            <wp:extent cx="5943600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Chec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D7" w:rsidRPr="00046F7E" w:rsidRDefault="00046F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Figure S</w:t>
      </w:r>
      <w:r w:rsidR="005D32D8">
        <w:rPr>
          <w:rFonts w:ascii="Times New Roman" w:hAnsi="Times New Roman" w:cs="Times New Roman"/>
          <w:sz w:val="24"/>
          <w:szCs w:val="24"/>
          <w:lang w:val="en-CA"/>
        </w:rPr>
        <w:t>3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Model checking for the three scenarios (Scenarios 1-3) evaluated with DIYABC for </w:t>
      </w:r>
      <w:r w:rsidRPr="00046F7E">
        <w:rPr>
          <w:rFonts w:ascii="Times New Roman" w:hAnsi="Times New Roman" w:cs="Times New Roman"/>
          <w:i/>
          <w:sz w:val="24"/>
          <w:szCs w:val="24"/>
          <w:lang w:val="en-CA"/>
        </w:rPr>
        <w:t xml:space="preserve">Patella </w:t>
      </w:r>
      <w:proofErr w:type="spellStart"/>
      <w:r w:rsidRPr="00046F7E">
        <w:rPr>
          <w:rFonts w:ascii="Times New Roman" w:hAnsi="Times New Roman" w:cs="Times New Roman"/>
          <w:i/>
          <w:sz w:val="24"/>
          <w:szCs w:val="24"/>
          <w:lang w:val="en-CA"/>
        </w:rPr>
        <w:t>aspera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Archipleago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of Madeira.</w:t>
      </w:r>
    </w:p>
    <w:sectPr w:rsidR="00F651D7" w:rsidRPr="00046F7E" w:rsidSect="0073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B2"/>
    <w:rsid w:val="00044A99"/>
    <w:rsid w:val="00046F7E"/>
    <w:rsid w:val="000556AA"/>
    <w:rsid w:val="000709CE"/>
    <w:rsid w:val="00126318"/>
    <w:rsid w:val="001C2C0D"/>
    <w:rsid w:val="0022052C"/>
    <w:rsid w:val="00245459"/>
    <w:rsid w:val="00284C54"/>
    <w:rsid w:val="002F3C30"/>
    <w:rsid w:val="0030507E"/>
    <w:rsid w:val="00375CDA"/>
    <w:rsid w:val="004323DF"/>
    <w:rsid w:val="004C5828"/>
    <w:rsid w:val="0056760C"/>
    <w:rsid w:val="0059251C"/>
    <w:rsid w:val="005D32D8"/>
    <w:rsid w:val="00606CD7"/>
    <w:rsid w:val="0067059B"/>
    <w:rsid w:val="006942B6"/>
    <w:rsid w:val="006B60F6"/>
    <w:rsid w:val="006F00B2"/>
    <w:rsid w:val="00731C16"/>
    <w:rsid w:val="007376CE"/>
    <w:rsid w:val="00742B48"/>
    <w:rsid w:val="00746BD2"/>
    <w:rsid w:val="007D7BFB"/>
    <w:rsid w:val="007E3B70"/>
    <w:rsid w:val="009326FD"/>
    <w:rsid w:val="009637D0"/>
    <w:rsid w:val="00A110E7"/>
    <w:rsid w:val="00A21937"/>
    <w:rsid w:val="00A539C8"/>
    <w:rsid w:val="00AF1C2B"/>
    <w:rsid w:val="00B01799"/>
    <w:rsid w:val="00B402D6"/>
    <w:rsid w:val="00C27D24"/>
    <w:rsid w:val="00D003C4"/>
    <w:rsid w:val="00D160B3"/>
    <w:rsid w:val="00D35E54"/>
    <w:rsid w:val="00D4326F"/>
    <w:rsid w:val="00D64B67"/>
    <w:rsid w:val="00D9628E"/>
    <w:rsid w:val="00DA29C9"/>
    <w:rsid w:val="00DA760E"/>
    <w:rsid w:val="00DB1CF1"/>
    <w:rsid w:val="00E540FF"/>
    <w:rsid w:val="00E64620"/>
    <w:rsid w:val="00E96C00"/>
    <w:rsid w:val="00EC0F7E"/>
    <w:rsid w:val="00EF0864"/>
    <w:rsid w:val="00F651D7"/>
    <w:rsid w:val="00FD0796"/>
    <w:rsid w:val="00FF50D4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FF1D-DD40-490B-914C-373829FF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A99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FF6F9F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27D2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</dc:creator>
  <cp:keywords/>
  <dc:description/>
  <cp:lastModifiedBy>Ivan V</cp:lastModifiedBy>
  <cp:revision>51</cp:revision>
  <dcterms:created xsi:type="dcterms:W3CDTF">2020-09-17T15:48:00Z</dcterms:created>
  <dcterms:modified xsi:type="dcterms:W3CDTF">2021-04-27T17:15:00Z</dcterms:modified>
</cp:coreProperties>
</file>