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17D" w:rsidRPr="00A7217D" w:rsidRDefault="00A7217D" w:rsidP="001630AE">
      <w:pPr>
        <w:pStyle w:val="Heading2"/>
      </w:pPr>
      <w:r>
        <w:t>Resumen</w:t>
      </w:r>
    </w:p>
    <w:p w:rsidR="004D365C" w:rsidRPr="00420A94" w:rsidRDefault="004D365C" w:rsidP="001630AE">
      <w:r w:rsidRPr="004D365C">
        <w:t>Este trabajo se enmarca dentro del llamado problema de la canasta del supermercado (</w:t>
      </w:r>
      <w:proofErr w:type="spellStart"/>
      <w:r w:rsidRPr="00CD5963">
        <w:rPr>
          <w:i/>
          <w:iCs/>
        </w:rPr>
        <w:t>market</w:t>
      </w:r>
      <w:proofErr w:type="spellEnd"/>
      <w:r w:rsidRPr="00CD5963">
        <w:rPr>
          <w:i/>
          <w:iCs/>
        </w:rPr>
        <w:t xml:space="preserve"> </w:t>
      </w:r>
      <w:proofErr w:type="spellStart"/>
      <w:r w:rsidRPr="00CD5963">
        <w:rPr>
          <w:i/>
          <w:iCs/>
        </w:rPr>
        <w:t>basket</w:t>
      </w:r>
      <w:proofErr w:type="spellEnd"/>
      <w:r w:rsidRPr="00CD5963">
        <w:rPr>
          <w:i/>
          <w:iCs/>
        </w:rPr>
        <w:t xml:space="preserve"> </w:t>
      </w:r>
      <w:proofErr w:type="spellStart"/>
      <w:r w:rsidRPr="00CD5963">
        <w:rPr>
          <w:i/>
          <w:iCs/>
        </w:rPr>
        <w:t>problem</w:t>
      </w:r>
      <w:proofErr w:type="spellEnd"/>
      <w:r w:rsidRPr="004D365C">
        <w:t>) en el que se extrae una base de datos de transacciones para el descubrimiento de conjuntos de elementos inusualmente frecuentes.</w:t>
      </w:r>
      <w:r w:rsidR="004E14BE">
        <w:t xml:space="preserve"> Esto implica estimar la relación entre la frecuencia de cada conjunto de elementos y una frecuencia de referencia calculada como si los conjuntos de elementos ocurrieran de forma independiente. Esta relación debe ser confiable tanto para conjuntos de elementos con frecuencias de apariciones altas y bajas.</w:t>
      </w:r>
      <w:r w:rsidR="00420A94">
        <w:t xml:space="preserve"> El foco del trabajo es el análisis de informes de detección de reacciones adversas a drogas obtenidos de la base de datos del sistema de reportes de </w:t>
      </w:r>
      <w:r w:rsidR="00420A94" w:rsidRPr="004166E2">
        <w:t xml:space="preserve">la Administración de Drogas y Alimentos de los Estados Unidos </w:t>
      </w:r>
      <w:r w:rsidR="00420A94" w:rsidRPr="00420A94">
        <w:t>(FDA)</w:t>
      </w:r>
      <w:r w:rsidR="00420A94">
        <w:t>.</w:t>
      </w:r>
    </w:p>
    <w:p w:rsidR="004166E2" w:rsidRPr="004166E2" w:rsidRDefault="004166E2" w:rsidP="001630AE">
      <w:pPr>
        <w:pStyle w:val="Heading2"/>
      </w:pPr>
      <w:r w:rsidRPr="004166E2">
        <w:t>Introducción</w:t>
      </w:r>
    </w:p>
    <w:p w:rsidR="000B5EF5" w:rsidRDefault="000B5EF5" w:rsidP="001630AE">
      <w:r w:rsidRPr="004166E2">
        <w:t xml:space="preserve">Los diversos productos regulados por </w:t>
      </w:r>
      <w:r w:rsidR="00420A94">
        <w:t>FDA</w:t>
      </w:r>
      <w:r w:rsidRPr="004166E2">
        <w:t xml:space="preserve"> representan aproximadamente el 25% de la economía de los Estados Unidos, se usan a diario y afectan la salud de muchos millones de personas y animales. Además de alimentos y medicamentos, incluyen, por ejemplo, suplementos nutricionales, alimentos genéticamente modificados, vacunas, corazones artificiales, láseres quirúrgicos, dispositivos utilizados para administrar medicamentos y productos biológicos, terapias genéticas, medicamentos veterinarios, alimentos para mascotas, productos de tabaco y muchos otros. Los eventos adversos asociados con estos productos son responsables de enormes costos de salud pública y financieros. Estos costos relacionados con eventos adversos afectan el desarrollo de productos de atención médica, las primas de seguros de salud y los servicios de atención médica (por ejemplo, hospitalizaciones), todo lo cual conduce a pérdidas sociales a largo plazo, como dis</w:t>
      </w:r>
      <w:r w:rsidR="00187132" w:rsidRPr="004166E2">
        <w:t>capacidad permanente y muerte.</w:t>
      </w:r>
      <w:sdt>
        <w:sdtPr>
          <w:id w:val="-1534346735"/>
          <w:citation/>
        </w:sdtPr>
        <w:sdtEndPr/>
        <w:sdtContent>
          <w:r w:rsidR="004166E2" w:rsidRPr="004166E2">
            <w:fldChar w:fldCharType="begin"/>
          </w:r>
          <w:r w:rsidR="004166E2" w:rsidRPr="004166E2">
            <w:instrText xml:space="preserve"> CITATION Age05 \l 11274 </w:instrText>
          </w:r>
          <w:r w:rsidR="004166E2" w:rsidRPr="004166E2">
            <w:fldChar w:fldCharType="separate"/>
          </w:r>
          <w:r w:rsidR="00D41FF2">
            <w:rPr>
              <w:noProof/>
            </w:rPr>
            <w:t xml:space="preserve"> (Agency for Healthcare Research and Quality, AHRQ., 2005)</w:t>
          </w:r>
          <w:r w:rsidR="004166E2" w:rsidRPr="004166E2">
            <w:fldChar w:fldCharType="end"/>
          </w:r>
        </w:sdtContent>
      </w:sdt>
    </w:p>
    <w:p w:rsidR="00FF13FB" w:rsidRDefault="002C237B" w:rsidP="001630AE">
      <w:r w:rsidRPr="002C237B">
        <w:t xml:space="preserve">La FDA recopila y mantiene datos que proporcionan información de seguridad para </w:t>
      </w:r>
      <w:r>
        <w:t xml:space="preserve">los productos regulados, una gran parte de la información que proporciona son </w:t>
      </w:r>
      <w:r w:rsidRPr="002C237B">
        <w:t xml:space="preserve">las bases de datos </w:t>
      </w:r>
      <w:r>
        <w:t xml:space="preserve">de </w:t>
      </w:r>
      <w:r w:rsidRPr="002C237B">
        <w:t>informes de problemas de seguridad presuntamente asociados con productos comercializados. El número anual de informes recibidos ha aumentado constantemente a lo largo de las décadas debido a factores como el aumento de la población, el número y tipo de productos regulados, la conciencia de la importancia de los informes y la mayor facilidad con l</w:t>
      </w:r>
      <w:r>
        <w:t xml:space="preserve">a que se pueden enviar informes. </w:t>
      </w:r>
      <w:r w:rsidRPr="002C237B">
        <w:t xml:space="preserve">Actualmente, la FDA recibe aproximadamente dos millones de informes de eventos adversos, errores de uso y quejas de productos cada año de consumidores, profesionales de la salud, fabricantes y otros. Estos informes se ingresan en varias bases de datos mantenidas por la FDA para análisis posteriores para identificar posibles problemas de seguridad y mejorar la comprensión de esos problemas. </w:t>
      </w:r>
      <w:sdt>
        <w:sdtPr>
          <w:id w:val="-710885344"/>
          <w:citation/>
        </w:sdtPr>
        <w:sdtEndPr/>
        <w:sdtContent>
          <w:r>
            <w:fldChar w:fldCharType="begin"/>
          </w:r>
          <w:r>
            <w:instrText xml:space="preserve"> CITATION Hes16 \l 11274 </w:instrText>
          </w:r>
          <w:r>
            <w:fldChar w:fldCharType="separate"/>
          </w:r>
          <w:r w:rsidR="004478FF">
            <w:rPr>
              <w:noProof/>
            </w:rPr>
            <w:t>(Hesha J Duggirala, 2016)</w:t>
          </w:r>
          <w:r>
            <w:fldChar w:fldCharType="end"/>
          </w:r>
        </w:sdtContent>
      </w:sdt>
    </w:p>
    <w:p w:rsidR="00FF13FB" w:rsidRDefault="00FF13FB" w:rsidP="001630AE">
      <w:pPr>
        <w:pStyle w:val="Heading2"/>
      </w:pPr>
      <w:r>
        <w:t>Datos</w:t>
      </w:r>
    </w:p>
    <w:p w:rsidR="00FF13FB" w:rsidRPr="00FF13FB" w:rsidRDefault="00FF13FB" w:rsidP="001630AE">
      <w:r>
        <w:t>Se cuenta con información del primer trimestre de 2020 de eventos adversos, in</w:t>
      </w:r>
      <w:r w:rsidR="00134962">
        <w:t>cluyendo las siguientes bases d</w:t>
      </w:r>
      <w:r>
        <w:t>e datos:</w:t>
      </w:r>
    </w:p>
    <w:p w:rsidR="00FF13FB" w:rsidRPr="00FF13FB" w:rsidRDefault="00FF13FB" w:rsidP="001630AE">
      <w:pPr>
        <w:pStyle w:val="ListParagraph"/>
        <w:numPr>
          <w:ilvl w:val="0"/>
          <w:numId w:val="2"/>
        </w:numPr>
      </w:pPr>
      <w:r w:rsidRPr="00FF13FB">
        <w:t xml:space="preserve">información demográfica y administrativa </w:t>
      </w:r>
      <w:r w:rsidR="004E14BE">
        <w:t>del informe</w:t>
      </w:r>
      <w:r w:rsidRPr="00FF13FB">
        <w:t>;</w:t>
      </w:r>
    </w:p>
    <w:p w:rsidR="00FF13FB" w:rsidRPr="00FF13FB" w:rsidRDefault="004E14BE" w:rsidP="001630AE">
      <w:pPr>
        <w:pStyle w:val="ListParagraph"/>
        <w:numPr>
          <w:ilvl w:val="0"/>
          <w:numId w:val="2"/>
        </w:numPr>
      </w:pPr>
      <w:r>
        <w:t>información de drogas y tratamiento</w:t>
      </w:r>
      <w:r w:rsidR="00FF13FB" w:rsidRPr="00FF13FB">
        <w:t>;</w:t>
      </w:r>
    </w:p>
    <w:p w:rsidR="00FF13FB" w:rsidRPr="00FF13FB" w:rsidRDefault="00FF13FB" w:rsidP="001630AE">
      <w:pPr>
        <w:pStyle w:val="ListParagraph"/>
        <w:numPr>
          <w:ilvl w:val="0"/>
          <w:numId w:val="2"/>
        </w:numPr>
      </w:pPr>
      <w:r w:rsidRPr="00FF13FB">
        <w:t xml:space="preserve">información de </w:t>
      </w:r>
      <w:r w:rsidR="004E14BE">
        <w:t>eventos adversos</w:t>
      </w:r>
      <w:r w:rsidRPr="00FF13FB">
        <w:t>;</w:t>
      </w:r>
    </w:p>
    <w:p w:rsidR="004E14BE" w:rsidRPr="004E14BE" w:rsidRDefault="004E14BE" w:rsidP="001630AE">
      <w:pPr>
        <w:pStyle w:val="ListParagraph"/>
        <w:numPr>
          <w:ilvl w:val="0"/>
          <w:numId w:val="2"/>
        </w:numPr>
      </w:pPr>
      <w:r>
        <w:t xml:space="preserve">información de resultados </w:t>
      </w:r>
      <w:r w:rsidR="00FF13FB" w:rsidRPr="00FF13FB">
        <w:t>del paciente</w:t>
      </w:r>
      <w:r>
        <w:t>;</w:t>
      </w:r>
    </w:p>
    <w:p w:rsidR="00FF13FB" w:rsidRDefault="00FF13FB" w:rsidP="001630AE">
      <w:pPr>
        <w:pStyle w:val="ListParagraph"/>
        <w:numPr>
          <w:ilvl w:val="0"/>
          <w:numId w:val="2"/>
        </w:numPr>
      </w:pPr>
      <w:r w:rsidRPr="00FF13FB">
        <w:t xml:space="preserve">información </w:t>
      </w:r>
      <w:r>
        <w:t>sobre la fuente de los informes</w:t>
      </w:r>
    </w:p>
    <w:p w:rsidR="00FF13FB" w:rsidRDefault="00FF13FB" w:rsidP="001630AE">
      <w:r>
        <w:t>Esta base contiene información d</w:t>
      </w:r>
      <w:r w:rsidR="00CD5963">
        <w:t>e reportes de</w:t>
      </w:r>
      <w:r w:rsidR="00C06423">
        <w:t xml:space="preserve"> 12</w:t>
      </w:r>
      <w:r w:rsidR="00A555D7">
        <w:t>.</w:t>
      </w:r>
      <w:r w:rsidR="00C06423">
        <w:t>129</w:t>
      </w:r>
      <w:r w:rsidR="00CD5963">
        <w:t xml:space="preserve"> drogas y 12</w:t>
      </w:r>
      <w:r w:rsidR="00A555D7">
        <w:t>.</w:t>
      </w:r>
      <w:r w:rsidR="00CD5963">
        <w:t xml:space="preserve">160 eventos adversos sumando </w:t>
      </w:r>
      <w:r>
        <w:t xml:space="preserve">más de 10 millones </w:t>
      </w:r>
      <w:r w:rsidR="00415006">
        <w:t xml:space="preserve">de </w:t>
      </w:r>
      <w:r w:rsidR="005B52E1">
        <w:t>combinaciones</w:t>
      </w:r>
      <w:r>
        <w:t xml:space="preserve"> </w:t>
      </w:r>
      <w:r w:rsidR="005B52E1">
        <w:t xml:space="preserve">droga </w:t>
      </w:r>
      <w:r w:rsidR="004E14BE">
        <w:t>- evento adverso</w:t>
      </w:r>
      <w:r>
        <w:t>.</w:t>
      </w:r>
    </w:p>
    <w:p w:rsidR="002C237B" w:rsidRDefault="002C237B" w:rsidP="001630AE">
      <w:pPr>
        <w:pStyle w:val="Heading2"/>
      </w:pPr>
      <w:r w:rsidRPr="002C237B">
        <w:t>Metodología</w:t>
      </w:r>
    </w:p>
    <w:p w:rsidR="0023001D" w:rsidRDefault="0023001D" w:rsidP="001630AE">
      <w:pPr>
        <w:pStyle w:val="Heading3"/>
      </w:pPr>
      <w:proofErr w:type="spellStart"/>
      <w:r>
        <w:t>Preprocesamiento</w:t>
      </w:r>
      <w:proofErr w:type="spellEnd"/>
    </w:p>
    <w:p w:rsidR="0023001D" w:rsidRPr="001630AE" w:rsidRDefault="00D752F1" w:rsidP="001630AE">
      <w:r w:rsidRPr="001630AE">
        <w:t>Se realizó una limpieza de reportes duplicados manteniendo el último reporte para cada evento adverso y se normalizaron las unidades de medidas de las variables numéricas.</w:t>
      </w:r>
      <w:r w:rsidR="00862BB0">
        <w:t xml:space="preserve"> Los cálculos se ven afectados directamente por la calidad de la data, en especial con respecto a los nombres de drogas y los eventos. Cualquier cambio con respecto a la forma en que está escrita puede significar que no se tome a la misma droga o evento adverso como la misma </w:t>
      </w:r>
      <w:r w:rsidR="00862BB0">
        <w:lastRenderedPageBreak/>
        <w:t>afectando las métricas. Se hizo una limpieza de los textos eliminando espacios, símbolos y llevando todas las palabras a mayúscula</w:t>
      </w:r>
      <w:r w:rsidR="00B43AF5">
        <w:t xml:space="preserve"> y clasificando las </w:t>
      </w:r>
      <w:r w:rsidR="000D4848">
        <w:t xml:space="preserve">12.129 drogas </w:t>
      </w:r>
      <w:r w:rsidR="00B43AF5">
        <w:t xml:space="preserve">en </w:t>
      </w:r>
      <w:r w:rsidR="005B52E1">
        <w:t>5</w:t>
      </w:r>
      <w:r w:rsidR="005B52E1">
        <w:t>.</w:t>
      </w:r>
      <w:r w:rsidR="005B52E1">
        <w:t>865</w:t>
      </w:r>
      <w:r w:rsidR="00B43AF5">
        <w:t xml:space="preserve"> drogas genéricas mediante los</w:t>
      </w:r>
      <w:r w:rsidR="005B52E1">
        <w:t xml:space="preserve"> </w:t>
      </w:r>
      <w:r w:rsidR="000D4848">
        <w:t>com</w:t>
      </w:r>
      <w:r w:rsidR="00B43AF5">
        <w:t>ponentes activos</w:t>
      </w:r>
      <w:r w:rsidR="005B52E1">
        <w:t xml:space="preserve">. </w:t>
      </w:r>
      <w:r w:rsidRPr="001630AE">
        <w:t xml:space="preserve">Para el análisis se utilizaron dos variables demográficas como </w:t>
      </w:r>
      <w:proofErr w:type="spellStart"/>
      <w:r w:rsidRPr="001630AE">
        <w:t>estratificadoras</w:t>
      </w:r>
      <w:proofErr w:type="spellEnd"/>
      <w:r w:rsidRPr="001630AE">
        <w:t>, el sexo y la edad de las personas. El propósito de la estratificación es evitar encontrar asociaciones espurias entre dos elementos simplemente porque ambos tienden a ser más frecuentes en el mismo estrato</w:t>
      </w:r>
      <w:r w:rsidR="001630AE" w:rsidRPr="001630AE">
        <w:t>.</w:t>
      </w:r>
    </w:p>
    <w:p w:rsidR="004A17CF" w:rsidRPr="004A17CF" w:rsidRDefault="0023001D" w:rsidP="001630AE">
      <w:pPr>
        <w:pStyle w:val="Heading3"/>
      </w:pPr>
      <w:r>
        <w:t>Métodos de desproporcionalidad: PRR y EBGM</w:t>
      </w:r>
    </w:p>
    <w:p w:rsidR="002C237B" w:rsidRPr="001630AE" w:rsidRDefault="002C237B" w:rsidP="001630AE">
      <w:r w:rsidRPr="001630AE">
        <w:t xml:space="preserve">La FDA utiliza </w:t>
      </w:r>
      <w:r w:rsidR="0023001D" w:rsidRPr="001630AE">
        <w:t xml:space="preserve">métodos de desproporcionalidad </w:t>
      </w:r>
      <w:r w:rsidRPr="001630AE">
        <w:t xml:space="preserve">para identificar asociaciones estadísticas entre productos y eventos. </w:t>
      </w:r>
      <w:sdt>
        <w:sdtPr>
          <w:id w:val="1261409146"/>
          <w:citation/>
        </w:sdtPr>
        <w:sdtEndPr/>
        <w:sdtContent>
          <w:r w:rsidR="002941FF" w:rsidRPr="001630AE">
            <w:fldChar w:fldCharType="begin"/>
          </w:r>
          <w:r w:rsidR="002941FF" w:rsidRPr="001630AE">
            <w:instrText xml:space="preserve"> CITATION Hes16 \l 11274 </w:instrText>
          </w:r>
          <w:r w:rsidR="002941FF" w:rsidRPr="001630AE">
            <w:fldChar w:fldCharType="separate"/>
          </w:r>
          <w:r w:rsidR="002941FF" w:rsidRPr="001630AE">
            <w:rPr>
              <w:noProof/>
            </w:rPr>
            <w:t>(Hesha J Duggirala, 2016)</w:t>
          </w:r>
          <w:r w:rsidR="002941FF" w:rsidRPr="001630AE">
            <w:fldChar w:fldCharType="end"/>
          </w:r>
        </w:sdtContent>
      </w:sdt>
      <w:r w:rsidR="002941FF" w:rsidRPr="001630AE">
        <w:t xml:space="preserve"> </w:t>
      </w:r>
      <w:r w:rsidRPr="001630AE">
        <w:t xml:space="preserve">Dichos métodos comparan el recuento observado de una combinación de evento de producto con un recuento "esperado". Las asociaciones </w:t>
      </w:r>
      <w:r w:rsidR="002941FF" w:rsidRPr="001630AE">
        <w:t xml:space="preserve">de productos y eventos adversos </w:t>
      </w:r>
      <w:r w:rsidRPr="001630AE">
        <w:t>inesperadamente altas "señalan"</w:t>
      </w:r>
      <w:sdt>
        <w:sdtPr>
          <w:id w:val="169450147"/>
          <w:citation/>
        </w:sdtPr>
        <w:sdtEndPr/>
        <w:sdtContent>
          <w:r w:rsidR="002941FF" w:rsidRPr="001630AE">
            <w:fldChar w:fldCharType="begin"/>
          </w:r>
          <w:r w:rsidR="002941FF" w:rsidRPr="001630AE">
            <w:instrText xml:space="preserve"> CITATION Wal03 \l 11274 </w:instrText>
          </w:r>
          <w:r w:rsidR="002941FF" w:rsidRPr="001630AE">
            <w:fldChar w:fldCharType="separate"/>
          </w:r>
          <w:r w:rsidR="002941FF" w:rsidRPr="001630AE">
            <w:rPr>
              <w:noProof/>
            </w:rPr>
            <w:t xml:space="preserve"> (Waller, 2003)</w:t>
          </w:r>
          <w:r w:rsidR="002941FF" w:rsidRPr="001630AE">
            <w:fldChar w:fldCharType="end"/>
          </w:r>
        </w:sdtContent>
      </w:sdt>
      <w:r w:rsidRPr="001630AE">
        <w:t xml:space="preserve"> que puede haber una asociación causal entre </w:t>
      </w:r>
      <w:r w:rsidR="002941FF" w:rsidRPr="001630AE">
        <w:t>ellos</w:t>
      </w:r>
      <w:r w:rsidRPr="001630AE">
        <w:t xml:space="preserve">. </w:t>
      </w:r>
      <w:r w:rsidR="002941FF" w:rsidRPr="001630AE">
        <w:t xml:space="preserve">Estas asociaciones altas son denominadas como </w:t>
      </w:r>
      <w:proofErr w:type="spellStart"/>
      <w:r w:rsidR="002941FF" w:rsidRPr="001630AE">
        <w:rPr>
          <w:i/>
          <w:iCs/>
        </w:rPr>
        <w:t>Disproportionately</w:t>
      </w:r>
      <w:proofErr w:type="spellEnd"/>
      <w:r w:rsidR="002941FF" w:rsidRPr="001630AE">
        <w:rPr>
          <w:i/>
          <w:iCs/>
        </w:rPr>
        <w:t xml:space="preserve"> </w:t>
      </w:r>
      <w:proofErr w:type="spellStart"/>
      <w:r w:rsidR="002941FF" w:rsidRPr="001630AE">
        <w:rPr>
          <w:i/>
          <w:iCs/>
        </w:rPr>
        <w:t>Reported</w:t>
      </w:r>
      <w:proofErr w:type="spellEnd"/>
      <w:r w:rsidR="002941FF" w:rsidRPr="001630AE">
        <w:rPr>
          <w:i/>
          <w:iCs/>
        </w:rPr>
        <w:t xml:space="preserve"> </w:t>
      </w:r>
      <w:proofErr w:type="spellStart"/>
      <w:r w:rsidR="002941FF" w:rsidRPr="001630AE">
        <w:rPr>
          <w:i/>
          <w:iCs/>
        </w:rPr>
        <w:t>Combinations</w:t>
      </w:r>
      <w:proofErr w:type="spellEnd"/>
      <w:r w:rsidR="002941FF" w:rsidRPr="001630AE">
        <w:rPr>
          <w:i/>
          <w:iCs/>
        </w:rPr>
        <w:t xml:space="preserve"> (</w:t>
      </w:r>
      <w:proofErr w:type="spellStart"/>
      <w:r w:rsidR="002941FF" w:rsidRPr="001630AE">
        <w:rPr>
          <w:i/>
          <w:iCs/>
        </w:rPr>
        <w:t>DRCs</w:t>
      </w:r>
      <w:proofErr w:type="spellEnd"/>
      <w:r w:rsidR="002941FF" w:rsidRPr="001630AE">
        <w:rPr>
          <w:i/>
          <w:iCs/>
        </w:rPr>
        <w:t>)</w:t>
      </w:r>
      <w:r w:rsidR="002941FF" w:rsidRPr="001630AE">
        <w:t>.</w:t>
      </w:r>
    </w:p>
    <w:p w:rsidR="00CC1536" w:rsidRPr="001630AE" w:rsidRDefault="002941FF" w:rsidP="001630AE">
      <w:r w:rsidRPr="001630AE">
        <w:t xml:space="preserve">Se utiliza la </w:t>
      </w:r>
      <w:r w:rsidR="002C237B" w:rsidRPr="001630AE">
        <w:t xml:space="preserve">relación de </w:t>
      </w:r>
      <w:r w:rsidRPr="001630AE">
        <w:t>informe proporcional (</w:t>
      </w:r>
      <w:proofErr w:type="spellStart"/>
      <w:r w:rsidRPr="001630AE">
        <w:rPr>
          <w:i/>
          <w:iCs/>
        </w:rPr>
        <w:t>proportional</w:t>
      </w:r>
      <w:proofErr w:type="spellEnd"/>
      <w:r w:rsidRPr="001630AE">
        <w:rPr>
          <w:i/>
          <w:iCs/>
        </w:rPr>
        <w:t xml:space="preserve"> </w:t>
      </w:r>
      <w:proofErr w:type="spellStart"/>
      <w:r w:rsidRPr="001630AE">
        <w:rPr>
          <w:i/>
          <w:iCs/>
        </w:rPr>
        <w:t>reporting</w:t>
      </w:r>
      <w:proofErr w:type="spellEnd"/>
      <w:r w:rsidRPr="001630AE">
        <w:rPr>
          <w:i/>
          <w:iCs/>
        </w:rPr>
        <w:t xml:space="preserve"> ratio</w:t>
      </w:r>
      <w:r w:rsidRPr="001630AE">
        <w:t xml:space="preserve"> o PRR) como concepto fundamental en muchos de estos métodos de desproporcionalidad</w:t>
      </w:r>
      <w:r w:rsidR="002C237B" w:rsidRPr="001630AE">
        <w:t>.</w:t>
      </w:r>
      <w:sdt>
        <w:sdtPr>
          <w:id w:val="2037228391"/>
          <w:citation/>
        </w:sdtPr>
        <w:sdtEndPr/>
        <w:sdtContent>
          <w:r w:rsidR="001E2154" w:rsidRPr="001630AE">
            <w:fldChar w:fldCharType="begin"/>
          </w:r>
          <w:r w:rsidR="001E2154" w:rsidRPr="001630AE">
            <w:instrText xml:space="preserve"> CITATION Wal03 \l 11274 </w:instrText>
          </w:r>
          <w:r w:rsidR="001E2154" w:rsidRPr="001630AE">
            <w:fldChar w:fldCharType="separate"/>
          </w:r>
          <w:r w:rsidR="001E2154" w:rsidRPr="001630AE">
            <w:rPr>
              <w:noProof/>
            </w:rPr>
            <w:t xml:space="preserve"> (Waller, 2003)</w:t>
          </w:r>
          <w:r w:rsidR="001E2154" w:rsidRPr="001630AE">
            <w:fldChar w:fldCharType="end"/>
          </w:r>
        </w:sdtContent>
      </w:sdt>
      <w:sdt>
        <w:sdtPr>
          <w:id w:val="-1601864778"/>
          <w:citation/>
        </w:sdtPr>
        <w:sdtEndPr/>
        <w:sdtContent>
          <w:r w:rsidRPr="001630AE">
            <w:fldChar w:fldCharType="begin"/>
          </w:r>
          <w:r w:rsidRPr="001630AE">
            <w:instrText xml:space="preserve"> CITATION Fin74 \l 11274 </w:instrText>
          </w:r>
          <w:r w:rsidRPr="001630AE">
            <w:fldChar w:fldCharType="separate"/>
          </w:r>
          <w:r w:rsidRPr="001630AE">
            <w:rPr>
              <w:noProof/>
            </w:rPr>
            <w:t xml:space="preserve"> (Finney, 1974)</w:t>
          </w:r>
          <w:r w:rsidRPr="001630AE">
            <w:fldChar w:fldCharType="end"/>
          </w:r>
        </w:sdtContent>
      </w:sdt>
      <w:r w:rsidRPr="001630AE">
        <w:t xml:space="preserve"> </w:t>
      </w:r>
      <w:r w:rsidR="002C237B" w:rsidRPr="001630AE">
        <w:t xml:space="preserve"> El PRR es el grado de informe desproporcionado de un evento adverso para un producto de interés en comparación con el informe de este mismo evento adverso para todos los demás productos en la base de datos. Por lo tanto, toda la base de datos se utiliza como un recuento de fondo "esperado".</w:t>
      </w:r>
    </w:p>
    <w:p w:rsidR="00CC1536" w:rsidRPr="001630AE" w:rsidRDefault="00CC1536" w:rsidP="001630AE">
      <w:r w:rsidRPr="001630AE">
        <w:t>El PRR se basa en un "supuesto de independencia", es decir, que no hay asociación entre productos y eventos mencionados en los informes. Si hay un informe desproporcionado de un evento para un producto en particular, entonces este supuesto de independenci</w:t>
      </w:r>
      <w:r w:rsidR="005456F1" w:rsidRPr="001630AE">
        <w:t xml:space="preserve">a es cuestionable, es decir, </w:t>
      </w:r>
      <w:r w:rsidRPr="001630AE">
        <w:t xml:space="preserve">puede haber una asociación entre el evento adverso particular y el producto. Tal "asociación" es estadística; por lo tanto, no puede interpretarse como causal o relacionado con el riesgo. </w:t>
      </w:r>
      <w:sdt>
        <w:sdtPr>
          <w:id w:val="1941025539"/>
          <w:citation/>
        </w:sdtPr>
        <w:sdtEndPr/>
        <w:sdtContent>
          <w:r w:rsidRPr="001630AE">
            <w:fldChar w:fldCharType="begin"/>
          </w:r>
          <w:r w:rsidRPr="001630AE">
            <w:instrText xml:space="preserve"> CITATION Hes16 \l 11274 </w:instrText>
          </w:r>
          <w:r w:rsidRPr="001630AE">
            <w:fldChar w:fldCharType="separate"/>
          </w:r>
          <w:r w:rsidRPr="001630AE">
            <w:rPr>
              <w:noProof/>
            </w:rPr>
            <w:t>(Hesha J Duggirala, 2016)</w:t>
          </w:r>
          <w:r w:rsidRPr="001630AE">
            <w:fldChar w:fldCharType="end"/>
          </w:r>
        </w:sdtContent>
      </w:sdt>
    </w:p>
    <w:p w:rsidR="00CC1536" w:rsidRPr="001630AE" w:rsidRDefault="00CC1536" w:rsidP="001630AE">
      <w:r w:rsidRPr="001630AE">
        <w:t>Este concepto de desproporcionalidad puede mostrarse mediante una tabla de contingencia donde</w:t>
      </w:r>
    </w:p>
    <w:p w:rsidR="00CC1536" w:rsidRPr="001630AE" w:rsidRDefault="00CC1536" w:rsidP="007452F6">
      <w:pPr>
        <w:pStyle w:val="ListParagraph"/>
        <w:numPr>
          <w:ilvl w:val="0"/>
          <w:numId w:val="3"/>
        </w:numPr>
      </w:pPr>
      <w:r w:rsidRPr="001630AE">
        <w:t>"a" son todos los informes de un evento adverso específico ("Evento Y") para el Producto (por ejemplo, un medicamento) X,</w:t>
      </w:r>
    </w:p>
    <w:p w:rsidR="00CC1536" w:rsidRPr="001630AE" w:rsidRDefault="00CC1536" w:rsidP="007452F6">
      <w:pPr>
        <w:pStyle w:val="ListParagraph"/>
        <w:numPr>
          <w:ilvl w:val="0"/>
          <w:numId w:val="3"/>
        </w:numPr>
      </w:pPr>
      <w:r w:rsidRPr="001630AE">
        <w:t>"b" son todos los informes de todos los demás eventos adversos para el Producto X,</w:t>
      </w:r>
    </w:p>
    <w:p w:rsidR="00CC1536" w:rsidRPr="001630AE" w:rsidRDefault="00CC1536" w:rsidP="007452F6">
      <w:pPr>
        <w:pStyle w:val="ListParagraph"/>
        <w:numPr>
          <w:ilvl w:val="0"/>
          <w:numId w:val="3"/>
        </w:numPr>
      </w:pPr>
      <w:r w:rsidRPr="001630AE">
        <w:t>"a + b" son todos los informes para el Producto X,</w:t>
      </w:r>
    </w:p>
    <w:p w:rsidR="00CC1536" w:rsidRPr="001630AE" w:rsidRDefault="00CC1536" w:rsidP="007452F6">
      <w:pPr>
        <w:pStyle w:val="ListParagraph"/>
        <w:numPr>
          <w:ilvl w:val="0"/>
          <w:numId w:val="3"/>
        </w:numPr>
      </w:pPr>
      <w:r w:rsidRPr="001630AE">
        <w:t>"c" son todos los informes de todos los demás productos para el Evento Y,</w:t>
      </w:r>
    </w:p>
    <w:p w:rsidR="00CC1536" w:rsidRPr="001630AE" w:rsidRDefault="00CC1536" w:rsidP="007452F6">
      <w:pPr>
        <w:pStyle w:val="ListParagraph"/>
        <w:numPr>
          <w:ilvl w:val="0"/>
          <w:numId w:val="3"/>
        </w:numPr>
      </w:pPr>
      <w:r w:rsidRPr="001630AE">
        <w:t>"d" son todos los informes de todos los demás productos para todos los demás eventos adversos, y</w:t>
      </w:r>
    </w:p>
    <w:p w:rsidR="00CC1536" w:rsidRPr="001630AE" w:rsidRDefault="00CC1536" w:rsidP="007452F6">
      <w:pPr>
        <w:pStyle w:val="ListParagraph"/>
        <w:numPr>
          <w:ilvl w:val="0"/>
          <w:numId w:val="3"/>
        </w:numPr>
      </w:pPr>
      <w:r w:rsidRPr="001630AE">
        <w:t>"c</w:t>
      </w:r>
      <w:r w:rsidR="007C0170" w:rsidRPr="001630AE">
        <w:t xml:space="preserve"> + d" son</w:t>
      </w:r>
      <w:r w:rsidRPr="001630AE">
        <w:t xml:space="preserve"> todos los informes para todos los demás productos.</w:t>
      </w:r>
    </w:p>
    <w:tbl>
      <w:tblPr>
        <w:tblStyle w:val="GridTable2"/>
        <w:tblW w:w="0" w:type="auto"/>
        <w:jc w:val="center"/>
        <w:tblBorders>
          <w:top w:val="single" w:sz="4" w:space="0" w:color="auto"/>
          <w:left w:val="single" w:sz="4" w:space="0" w:color="auto"/>
          <w:bottom w:val="single" w:sz="4" w:space="0" w:color="auto"/>
          <w:right w:val="single" w:sz="4" w:space="0" w:color="auto"/>
        </w:tblBorders>
        <w:tblLook w:val="0400" w:firstRow="0" w:lastRow="0" w:firstColumn="0" w:lastColumn="0" w:noHBand="0" w:noVBand="1"/>
      </w:tblPr>
      <w:tblGrid>
        <w:gridCol w:w="1645"/>
        <w:gridCol w:w="1645"/>
        <w:gridCol w:w="1646"/>
        <w:gridCol w:w="1646"/>
      </w:tblGrid>
      <w:tr w:rsidR="005456F1" w:rsidRPr="001630AE" w:rsidTr="00E42237">
        <w:trPr>
          <w:cnfStyle w:val="000000100000" w:firstRow="0" w:lastRow="0" w:firstColumn="0" w:lastColumn="0" w:oddVBand="0" w:evenVBand="0" w:oddHBand="1" w:evenHBand="0" w:firstRowFirstColumn="0" w:firstRowLastColumn="0" w:lastRowFirstColumn="0" w:lastRowLastColumn="0"/>
          <w:trHeight w:val="277"/>
          <w:jc w:val="center"/>
        </w:trPr>
        <w:tc>
          <w:tcPr>
            <w:tcW w:w="1645" w:type="dxa"/>
          </w:tcPr>
          <w:p w:rsidR="005456F1" w:rsidRPr="001630AE" w:rsidRDefault="005456F1" w:rsidP="001630AE"/>
        </w:tc>
        <w:tc>
          <w:tcPr>
            <w:tcW w:w="1645" w:type="dxa"/>
          </w:tcPr>
          <w:p w:rsidR="005456F1" w:rsidRPr="001630AE" w:rsidRDefault="005456F1" w:rsidP="001630AE">
            <w:r w:rsidRPr="001630AE">
              <w:t>Evento Y</w:t>
            </w:r>
          </w:p>
        </w:tc>
        <w:tc>
          <w:tcPr>
            <w:tcW w:w="1646" w:type="dxa"/>
          </w:tcPr>
          <w:p w:rsidR="005456F1" w:rsidRPr="001630AE" w:rsidRDefault="005456F1" w:rsidP="001630AE">
            <w:r w:rsidRPr="001630AE">
              <w:t>Demás eventos</w:t>
            </w:r>
          </w:p>
        </w:tc>
        <w:tc>
          <w:tcPr>
            <w:tcW w:w="1646" w:type="dxa"/>
          </w:tcPr>
          <w:p w:rsidR="005456F1" w:rsidRPr="001630AE" w:rsidRDefault="005456F1" w:rsidP="001630AE"/>
        </w:tc>
      </w:tr>
      <w:tr w:rsidR="005456F1" w:rsidRPr="001630AE" w:rsidTr="00E42237">
        <w:trPr>
          <w:trHeight w:val="261"/>
          <w:jc w:val="center"/>
        </w:trPr>
        <w:tc>
          <w:tcPr>
            <w:tcW w:w="1645" w:type="dxa"/>
          </w:tcPr>
          <w:p w:rsidR="005456F1" w:rsidRPr="001630AE" w:rsidRDefault="005456F1" w:rsidP="001630AE">
            <w:r w:rsidRPr="001630AE">
              <w:t>Producto X</w:t>
            </w:r>
          </w:p>
        </w:tc>
        <w:tc>
          <w:tcPr>
            <w:tcW w:w="1645" w:type="dxa"/>
          </w:tcPr>
          <w:p w:rsidR="005456F1" w:rsidRPr="001630AE" w:rsidRDefault="00336697" w:rsidP="001630AE">
            <w:r w:rsidRPr="001630AE">
              <w:t>a</w:t>
            </w:r>
          </w:p>
        </w:tc>
        <w:tc>
          <w:tcPr>
            <w:tcW w:w="1646" w:type="dxa"/>
          </w:tcPr>
          <w:p w:rsidR="005456F1" w:rsidRPr="001630AE" w:rsidRDefault="00096927" w:rsidP="001630AE">
            <w:r w:rsidRPr="001630AE">
              <w:t>b</w:t>
            </w:r>
          </w:p>
        </w:tc>
        <w:tc>
          <w:tcPr>
            <w:tcW w:w="1646" w:type="dxa"/>
          </w:tcPr>
          <w:p w:rsidR="005456F1" w:rsidRPr="001630AE" w:rsidRDefault="005456F1" w:rsidP="001630AE">
            <w:r w:rsidRPr="001630AE">
              <w:t>a + b</w:t>
            </w:r>
          </w:p>
        </w:tc>
      </w:tr>
      <w:tr w:rsidR="005456F1" w:rsidRPr="001630AE" w:rsidTr="00E42237">
        <w:trPr>
          <w:cnfStyle w:val="000000100000" w:firstRow="0" w:lastRow="0" w:firstColumn="0" w:lastColumn="0" w:oddVBand="0" w:evenVBand="0" w:oddHBand="1" w:evenHBand="0" w:firstRowFirstColumn="0" w:firstRowLastColumn="0" w:lastRowFirstColumn="0" w:lastRowLastColumn="0"/>
          <w:trHeight w:val="277"/>
          <w:jc w:val="center"/>
        </w:trPr>
        <w:tc>
          <w:tcPr>
            <w:tcW w:w="1645" w:type="dxa"/>
          </w:tcPr>
          <w:p w:rsidR="005456F1" w:rsidRPr="001630AE" w:rsidRDefault="005456F1" w:rsidP="001630AE">
            <w:r w:rsidRPr="001630AE">
              <w:t>Demás productos</w:t>
            </w:r>
          </w:p>
        </w:tc>
        <w:tc>
          <w:tcPr>
            <w:tcW w:w="1645" w:type="dxa"/>
          </w:tcPr>
          <w:p w:rsidR="005456F1" w:rsidRPr="001630AE" w:rsidRDefault="00336697" w:rsidP="001630AE">
            <w:r w:rsidRPr="001630AE">
              <w:t>c</w:t>
            </w:r>
          </w:p>
        </w:tc>
        <w:tc>
          <w:tcPr>
            <w:tcW w:w="1646" w:type="dxa"/>
          </w:tcPr>
          <w:p w:rsidR="005456F1" w:rsidRPr="001630AE" w:rsidRDefault="00096927" w:rsidP="001630AE">
            <w:r w:rsidRPr="001630AE">
              <w:t>d</w:t>
            </w:r>
          </w:p>
        </w:tc>
        <w:tc>
          <w:tcPr>
            <w:tcW w:w="1646" w:type="dxa"/>
          </w:tcPr>
          <w:p w:rsidR="005456F1" w:rsidRPr="001630AE" w:rsidRDefault="005456F1" w:rsidP="001630AE">
            <w:r w:rsidRPr="001630AE">
              <w:t>c + d</w:t>
            </w:r>
          </w:p>
        </w:tc>
      </w:tr>
      <w:tr w:rsidR="005456F1" w:rsidRPr="001630AE" w:rsidTr="00E42237">
        <w:trPr>
          <w:trHeight w:val="277"/>
          <w:jc w:val="center"/>
        </w:trPr>
        <w:tc>
          <w:tcPr>
            <w:tcW w:w="1645" w:type="dxa"/>
          </w:tcPr>
          <w:p w:rsidR="005456F1" w:rsidRPr="001630AE" w:rsidRDefault="005456F1" w:rsidP="001630AE"/>
        </w:tc>
        <w:tc>
          <w:tcPr>
            <w:tcW w:w="1645" w:type="dxa"/>
          </w:tcPr>
          <w:p w:rsidR="005456F1" w:rsidRPr="001630AE" w:rsidRDefault="005456F1" w:rsidP="001630AE">
            <w:r w:rsidRPr="001630AE">
              <w:t>a + c</w:t>
            </w:r>
          </w:p>
        </w:tc>
        <w:tc>
          <w:tcPr>
            <w:tcW w:w="1646" w:type="dxa"/>
          </w:tcPr>
          <w:p w:rsidR="005456F1" w:rsidRPr="001630AE" w:rsidRDefault="005456F1" w:rsidP="001630AE">
            <w:r w:rsidRPr="001630AE">
              <w:t>b + d</w:t>
            </w:r>
          </w:p>
        </w:tc>
        <w:tc>
          <w:tcPr>
            <w:tcW w:w="1646" w:type="dxa"/>
          </w:tcPr>
          <w:p w:rsidR="005456F1" w:rsidRPr="001630AE" w:rsidRDefault="005456F1" w:rsidP="001630AE">
            <w:r w:rsidRPr="001630AE">
              <w:t>Total</w:t>
            </w:r>
          </w:p>
        </w:tc>
      </w:tr>
    </w:tbl>
    <w:p w:rsidR="00134962" w:rsidRPr="001630AE" w:rsidRDefault="00134962" w:rsidP="001630AE"/>
    <w:p w:rsidR="006E10DF" w:rsidRPr="001630AE" w:rsidRDefault="007C0170" w:rsidP="001630AE">
      <w:r w:rsidRPr="001630AE">
        <w:t>Siendo,</w:t>
      </w:r>
    </w:p>
    <w:p w:rsidR="006E10DF" w:rsidRPr="001630AE" w:rsidRDefault="006E10DF" w:rsidP="001630AE">
      <m:oMathPara>
        <m:oMath>
          <m:r>
            <w:rPr>
              <w:rFonts w:ascii="Cambria Math" w:hAnsi="Cambria Math"/>
            </w:rPr>
            <m:t>PRR</m:t>
          </m:r>
          <m:r>
            <m:rPr>
              <m:sty m:val="p"/>
            </m:rPr>
            <w:rPr>
              <w:rFonts w:ascii="Cambria Math" w:hAnsi="Cambria Math"/>
            </w:rPr>
            <m:t>=</m:t>
          </m:r>
          <m:f>
            <m:fPr>
              <m:ctrlPr>
                <w:rPr>
                  <w:rFonts w:ascii="Cambria Math" w:eastAsiaTheme="minorEastAsia" w:hAnsi="Cambria Math"/>
                  <w:lang w:val="en-US"/>
                </w:rPr>
              </m:ctrlPr>
            </m:fPr>
            <m:num>
              <m:r>
                <w:rPr>
                  <w:rFonts w:ascii="Cambria Math" w:hAnsi="Cambria Math"/>
                </w:rPr>
                <m:t>N</m:t>
              </m:r>
            </m:num>
            <m:den>
              <m:r>
                <w:rPr>
                  <w:rFonts w:ascii="Cambria Math" w:hAnsi="Cambria Math"/>
                </w:rPr>
                <m:t>E</m:t>
              </m:r>
            </m:den>
          </m:f>
          <m:r>
            <m:rPr>
              <m:sty m:val="p"/>
            </m:rPr>
            <w:rPr>
              <w:rFonts w:ascii="Cambria Math" w:hAnsi="Cambria Math"/>
            </w:rPr>
            <m:t xml:space="preserve">= </m:t>
          </m:r>
          <m:f>
            <m:fPr>
              <m:ctrlPr>
                <w:rPr>
                  <w:rFonts w:ascii="Cambria Math" w:hAnsi="Cambria Math"/>
                </w:rPr>
              </m:ctrlPr>
            </m:fPr>
            <m:num>
              <m:f>
                <m:fPr>
                  <m:ctrlPr>
                    <w:rPr>
                      <w:rFonts w:ascii="Cambria Math" w:hAnsi="Cambria Math"/>
                    </w:rPr>
                  </m:ctrlPr>
                </m:fPr>
                <m:num>
                  <m:r>
                    <w:rPr>
                      <w:rFonts w:ascii="Cambria Math" w:hAnsi="Cambria Math"/>
                    </w:rPr>
                    <m:t>a</m:t>
                  </m:r>
                </m:num>
                <m:den>
                  <m:r>
                    <w:rPr>
                      <w:rFonts w:ascii="Cambria Math" w:hAnsi="Cambria Math"/>
                    </w:rPr>
                    <m:t>a</m:t>
                  </m:r>
                  <m:r>
                    <m:rPr>
                      <m:sty m:val="p"/>
                    </m:rPr>
                    <w:rPr>
                      <w:rFonts w:ascii="Cambria Math" w:hAnsi="Cambria Math"/>
                    </w:rPr>
                    <m:t>+</m:t>
                  </m:r>
                  <m:r>
                    <w:rPr>
                      <w:rFonts w:ascii="Cambria Math" w:hAnsi="Cambria Math"/>
                    </w:rPr>
                    <m:t>b</m:t>
                  </m:r>
                </m:den>
              </m:f>
            </m:num>
            <m:den>
              <m:f>
                <m:fPr>
                  <m:ctrlPr>
                    <w:rPr>
                      <w:rFonts w:ascii="Cambria Math" w:hAnsi="Cambria Math"/>
                    </w:rPr>
                  </m:ctrlPr>
                </m:fPr>
                <m:num>
                  <m:r>
                    <w:rPr>
                      <w:rFonts w:ascii="Cambria Math" w:hAnsi="Cambria Math"/>
                    </w:rPr>
                    <m:t>c</m:t>
                  </m:r>
                </m:num>
                <m:den>
                  <m:r>
                    <w:rPr>
                      <w:rFonts w:ascii="Cambria Math" w:hAnsi="Cambria Math"/>
                    </w:rPr>
                    <m:t>c</m:t>
                  </m:r>
                  <m:r>
                    <m:rPr>
                      <m:sty m:val="p"/>
                    </m:rPr>
                    <w:rPr>
                      <w:rFonts w:ascii="Cambria Math" w:hAnsi="Cambria Math"/>
                    </w:rPr>
                    <m:t>+</m:t>
                  </m:r>
                  <m:r>
                    <w:rPr>
                      <w:rFonts w:ascii="Cambria Math" w:hAnsi="Cambria Math"/>
                    </w:rPr>
                    <m:t>d</m:t>
                  </m:r>
                </m:den>
              </m:f>
            </m:den>
          </m:f>
        </m:oMath>
      </m:oMathPara>
    </w:p>
    <w:p w:rsidR="006E5ED1" w:rsidRPr="001630AE" w:rsidRDefault="001B5218" w:rsidP="001630AE">
      <w:r w:rsidRPr="001B5218">
        <w:t xml:space="preserve">El PRR representa la relación entre el número de casos observados y los casos esperados bajo el supuesto de independencia entre productos y síntomas. </w:t>
      </w:r>
      <w:r w:rsidR="00FF0C3B" w:rsidRPr="001630AE">
        <w:t>Si la relación</w:t>
      </w:r>
      <w:r w:rsidR="006E5ED1" w:rsidRPr="001630AE">
        <w:t xml:space="preserve"> </w:t>
      </w:r>
      <w:r w:rsidR="00FF0C3B" w:rsidRPr="001630AE">
        <w:t xml:space="preserve">observada </w:t>
      </w:r>
      <w:r w:rsidR="00D90A99" w:rsidRPr="001630AE">
        <w:t xml:space="preserve">(N) </w:t>
      </w:r>
      <m:oMath>
        <m:f>
          <m:fPr>
            <m:ctrlPr>
              <w:rPr>
                <w:rFonts w:ascii="Cambria Math" w:hAnsi="Cambria Math"/>
                <w:i/>
              </w:rPr>
            </m:ctrlPr>
          </m:fPr>
          <m:num>
            <m:r>
              <w:rPr>
                <w:rFonts w:ascii="Cambria Math" w:hAnsi="Cambria Math"/>
              </w:rPr>
              <m:t>a</m:t>
            </m:r>
          </m:num>
          <m:den>
            <m:r>
              <w:rPr>
                <w:rFonts w:ascii="Cambria Math" w:hAnsi="Cambria Math"/>
              </w:rPr>
              <m:t>a+b</m:t>
            </m:r>
          </m:den>
        </m:f>
      </m:oMath>
      <w:r w:rsidR="006E5ED1" w:rsidRPr="001630AE">
        <w:t xml:space="preserve"> es mayor que </w:t>
      </w:r>
      <w:r w:rsidR="00FF0C3B" w:rsidRPr="001630AE">
        <w:t xml:space="preserve">la relación </w:t>
      </w:r>
      <w:r w:rsidR="006F516F">
        <w:t>d</w:t>
      </w:r>
      <w:r w:rsidR="00FF0C3B" w:rsidRPr="001630AE">
        <w:t>e eventos esperada</w:t>
      </w:r>
      <w:r w:rsidR="00D90A99" w:rsidRPr="001630AE">
        <w:t xml:space="preserve"> (E)</w:t>
      </w:r>
      <w:r w:rsidR="00FF0C3B" w:rsidRPr="001630AE">
        <w:t xml:space="preserve"> </w:t>
      </w:r>
      <m:oMath>
        <m:f>
          <m:fPr>
            <m:ctrlPr>
              <w:rPr>
                <w:rFonts w:ascii="Cambria Math" w:hAnsi="Cambria Math"/>
                <w:i/>
              </w:rPr>
            </m:ctrlPr>
          </m:fPr>
          <m:num>
            <m:r>
              <w:rPr>
                <w:rFonts w:ascii="Cambria Math" w:hAnsi="Cambria Math"/>
              </w:rPr>
              <m:t>c</m:t>
            </m:r>
          </m:num>
          <m:den>
            <m:r>
              <w:rPr>
                <w:rFonts w:ascii="Cambria Math" w:hAnsi="Cambria Math"/>
              </w:rPr>
              <m:t>c+d</m:t>
            </m:r>
          </m:den>
        </m:f>
      </m:oMath>
      <w:r w:rsidR="006E5ED1" w:rsidRPr="001630AE">
        <w:t xml:space="preserve"> entonces el Evento Y está reportado desproporcionalmente para el Producto X, utilizando el resto de la base de datos como valores “esperados”.</w:t>
      </w:r>
    </w:p>
    <w:p w:rsidR="00D90A99" w:rsidRPr="001630AE" w:rsidRDefault="006E5ED1" w:rsidP="001630AE">
      <w:r w:rsidRPr="001630AE">
        <w:lastRenderedPageBreak/>
        <w:t xml:space="preserve">Este </w:t>
      </w:r>
      <w:r w:rsidR="00C931D0" w:rsidRPr="001630AE">
        <w:t xml:space="preserve">factor </w:t>
      </w:r>
      <w:r w:rsidRPr="001630AE">
        <w:t xml:space="preserve">es la base de los métodos utilizados por la </w:t>
      </w:r>
      <w:proofErr w:type="gramStart"/>
      <w:r w:rsidRPr="001630AE">
        <w:t>FDA</w:t>
      </w:r>
      <w:proofErr w:type="gramEnd"/>
      <w:r w:rsidRPr="001630AE">
        <w:t xml:space="preserve"> pero no tiene en cuenta eventos con p</w:t>
      </w:r>
      <w:r w:rsidR="002C237B" w:rsidRPr="001630AE">
        <w:t>equeños números observados o esperados de informes del</w:t>
      </w:r>
      <w:r w:rsidRPr="001630AE">
        <w:t xml:space="preserve"> par de interés producto-evento</w:t>
      </w:r>
      <w:r w:rsidR="00FF0C3B" w:rsidRPr="001630AE">
        <w:t>. Si así fuese el caso, el valor de PRR sería extremadamente alto. P</w:t>
      </w:r>
      <w:r w:rsidR="006B185E" w:rsidRPr="001630AE">
        <w:t xml:space="preserve">or lo tanto, se emplean otros métodos estadísticos más avanzados, como el </w:t>
      </w:r>
      <w:proofErr w:type="spellStart"/>
      <w:r w:rsidR="006B185E" w:rsidRPr="001630AE">
        <w:rPr>
          <w:i/>
          <w:iCs/>
        </w:rPr>
        <w:t>Multi-Item</w:t>
      </w:r>
      <w:proofErr w:type="spellEnd"/>
      <w:r w:rsidR="006B185E" w:rsidRPr="001630AE">
        <w:rPr>
          <w:i/>
          <w:iCs/>
        </w:rPr>
        <w:t xml:space="preserve"> Gamma Poisson </w:t>
      </w:r>
      <w:proofErr w:type="spellStart"/>
      <w:r w:rsidR="006B185E" w:rsidRPr="001630AE">
        <w:rPr>
          <w:i/>
          <w:iCs/>
        </w:rPr>
        <w:t>Shrinker</w:t>
      </w:r>
      <w:proofErr w:type="spellEnd"/>
      <w:r w:rsidR="006B185E" w:rsidRPr="001630AE">
        <w:t xml:space="preserve"> (MGPS) que produce puntajes empíricos de la media geométrica bayesiana (EGBM)</w:t>
      </w:r>
      <w:r w:rsidRPr="001630AE">
        <w:t xml:space="preserve">. </w:t>
      </w:r>
      <w:r w:rsidR="00FF0C3B" w:rsidRPr="001630AE">
        <w:t xml:space="preserve"> </w:t>
      </w:r>
      <w:sdt>
        <w:sdtPr>
          <w:id w:val="1405018874"/>
          <w:citation/>
        </w:sdtPr>
        <w:sdtEndPr/>
        <w:sdtContent>
          <w:r w:rsidRPr="001630AE">
            <w:fldChar w:fldCharType="begin"/>
          </w:r>
          <w:r w:rsidRPr="001630AE">
            <w:instrText xml:space="preserve"> CITATION Hes16 \l 11274 </w:instrText>
          </w:r>
          <w:r w:rsidRPr="001630AE">
            <w:fldChar w:fldCharType="separate"/>
          </w:r>
          <w:r w:rsidRPr="001630AE">
            <w:rPr>
              <w:noProof/>
            </w:rPr>
            <w:t>(Hesha J Duggirala, 2016)</w:t>
          </w:r>
          <w:r w:rsidRPr="001630AE">
            <w:fldChar w:fldCharType="end"/>
          </w:r>
        </w:sdtContent>
      </w:sdt>
      <w:r w:rsidR="00D90A99" w:rsidRPr="001630AE">
        <w:t xml:space="preserve"> El cálculo EBGM es conceptualmente similar al del PRR, pero incorpora el encogimiento o la contracción y la estratificación bayesiana para producir puntajes de desproporcionalidad hacia el nulo, especialmente cuando hay datos limitados y un pequeño número de casos. </w:t>
      </w:r>
      <w:sdt>
        <w:sdtPr>
          <w:id w:val="1978028887"/>
          <w:citation/>
        </w:sdtPr>
        <w:sdtEndPr/>
        <w:sdtContent>
          <w:r w:rsidR="00D90A99" w:rsidRPr="001630AE">
            <w:fldChar w:fldCharType="begin"/>
          </w:r>
          <w:r w:rsidR="00D90A99" w:rsidRPr="001630AE">
            <w:instrText xml:space="preserve"> CITATION Sza04 \l 11274 </w:instrText>
          </w:r>
          <w:r w:rsidR="00D90A99" w:rsidRPr="001630AE">
            <w:fldChar w:fldCharType="separate"/>
          </w:r>
          <w:r w:rsidR="00D90A99" w:rsidRPr="001630AE">
            <w:rPr>
              <w:noProof/>
            </w:rPr>
            <w:t xml:space="preserve"> (Szarfman, 2004)</w:t>
          </w:r>
          <w:r w:rsidR="00D90A99" w:rsidRPr="001630AE">
            <w:fldChar w:fldCharType="end"/>
          </w:r>
        </w:sdtContent>
      </w:sdt>
      <w:r w:rsidR="00D90A99" w:rsidRPr="001630AE">
        <w:t xml:space="preserve"> </w:t>
      </w:r>
    </w:p>
    <w:p w:rsidR="00FF0C3B" w:rsidRDefault="00FF0C3B" w:rsidP="001630AE">
      <w:r w:rsidRPr="001630AE">
        <w:t>Una diferencia importante entre las estimaciones de PRR y EBGM es que, en el caso de PRR, los eventos adversos del producto en cuestión no contribuyen al número de casos esperados, mientras que todos los eventos adversos del producto contribuyen a la expectativa cuando se usa EBGM. Las modificaciones estadísticas utilizadas en la metodología EBGM disminuyen el efecto de valores de PRR espuriamente altos, reduciendo así el número de señales de seguridad falsas positivas.</w:t>
      </w:r>
      <w:sdt>
        <w:sdtPr>
          <w:id w:val="1571459357"/>
          <w:citation/>
        </w:sdtPr>
        <w:sdtEndPr/>
        <w:sdtContent>
          <w:r w:rsidRPr="001630AE">
            <w:fldChar w:fldCharType="begin"/>
          </w:r>
          <w:r w:rsidRPr="001630AE">
            <w:instrText xml:space="preserve"> CITATION Bat09 \l 11274 </w:instrText>
          </w:r>
          <w:r w:rsidRPr="001630AE">
            <w:fldChar w:fldCharType="separate"/>
          </w:r>
          <w:r w:rsidRPr="001630AE">
            <w:rPr>
              <w:noProof/>
            </w:rPr>
            <w:t xml:space="preserve"> (Bate, 2009)</w:t>
          </w:r>
          <w:r w:rsidRPr="001630AE">
            <w:fldChar w:fldCharType="end"/>
          </w:r>
        </w:sdtContent>
      </w:sdt>
      <w:r w:rsidRPr="001630AE">
        <w:t xml:space="preserve">  Por lo tanto, los valores EBGM proporcionan una estimación más estable de la tasa de notificación relativa de un evento para un producto en particular en relación con todos los demás eventos y productos en la base de datos que se analiza.</w:t>
      </w:r>
      <w:sdt>
        <w:sdtPr>
          <w:id w:val="-630942316"/>
          <w:citation/>
        </w:sdtPr>
        <w:sdtEndPr/>
        <w:sdtContent>
          <w:r w:rsidRPr="001630AE">
            <w:fldChar w:fldCharType="begin"/>
          </w:r>
          <w:r w:rsidRPr="001630AE">
            <w:instrText xml:space="preserve"> CITATION Sza04 \l 11274 </w:instrText>
          </w:r>
          <w:r w:rsidRPr="001630AE">
            <w:fldChar w:fldCharType="separate"/>
          </w:r>
          <w:r w:rsidRPr="001630AE">
            <w:rPr>
              <w:noProof/>
            </w:rPr>
            <w:t xml:space="preserve"> (Szarfman, 2004)</w:t>
          </w:r>
          <w:r w:rsidRPr="001630AE">
            <w:fldChar w:fldCharType="end"/>
          </w:r>
        </w:sdtContent>
      </w:sdt>
      <w:r w:rsidRPr="001630AE">
        <w:t xml:space="preserve"> </w:t>
      </w:r>
    </w:p>
    <w:p w:rsidR="006F516F" w:rsidRDefault="00214591" w:rsidP="001630AE">
      <w:r w:rsidRPr="001630AE">
        <w:t xml:space="preserve">El modelo de </w:t>
      </w:r>
      <w:proofErr w:type="spellStart"/>
      <w:r w:rsidRPr="001630AE">
        <w:t>Bayes</w:t>
      </w:r>
      <w:proofErr w:type="spellEnd"/>
      <w:r w:rsidRPr="001630AE">
        <w:t xml:space="preserve"> Empírico</w:t>
      </w:r>
      <w:r>
        <w:t xml:space="preserve"> asume que cada cantidad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observada proviene de una distribución de</w:t>
      </w:r>
      <w:r w:rsidR="00D90A99" w:rsidRPr="001630AE">
        <w:t xml:space="preserve"> Poisson </w:t>
      </w:r>
      <w:r w:rsidR="00426315" w:rsidRPr="001630AE">
        <w:t xml:space="preserve">con media </w:t>
      </w:r>
      <m:oMath>
        <m:r>
          <w:rPr>
            <w:rFonts w:ascii="Cambria Math" w:hAnsi="Cambria Math"/>
          </w:rPr>
          <m:t>μ</m:t>
        </m:r>
      </m:oMath>
      <w:r>
        <w:t xml:space="preserve"> desconocida. </w:t>
      </w:r>
      <w:r w:rsidR="0053457F">
        <w:t>La relación</w:t>
      </w:r>
      <w:r>
        <w:t xml:space="preserve"> que </w:t>
      </w:r>
      <w:r w:rsidR="00346243">
        <w:t>se calcula ahora es</w:t>
      </w:r>
      <w:r w:rsidR="006F516F">
        <w:t>:</w:t>
      </w:r>
    </w:p>
    <w:p w:rsidR="006F516F" w:rsidRDefault="00B81AEA" w:rsidP="006F516F">
      <w:pPr>
        <w:jc w:val="center"/>
      </w:pPr>
      <m:oMathPara>
        <m:oMath>
          <m:sSub>
            <m:sSubPr>
              <m:ctrlPr>
                <w:rPr>
                  <w:rFonts w:ascii="Cambria Math" w:hAnsi="Cambria Math"/>
                </w:rPr>
              </m:ctrlPr>
            </m:sSubPr>
            <m:e>
              <m:r>
                <m:rPr>
                  <m:sty m:val="p"/>
                </m:rPr>
                <w:rPr>
                  <w:rFonts w:ascii="Cambria Math" w:hAnsi="Cambria Math"/>
                </w:rPr>
                <m:t xml:space="preserve">λ </m:t>
              </m:r>
            </m:e>
            <m:sub>
              <m:r>
                <w:rPr>
                  <w:rFonts w:ascii="Cambria Math" w:hAnsi="Cambria Math"/>
                </w:rPr>
                <m:t>ij</m:t>
              </m:r>
            </m:sub>
          </m:sSub>
          <m:r>
            <m:rPr>
              <m:sty m:val="p"/>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ij</m:t>
                  </m:r>
                </m:sub>
              </m:sSub>
            </m:num>
            <m:den>
              <m:sSub>
                <m:sSubPr>
                  <m:ctrlPr>
                    <w:rPr>
                      <w:rFonts w:ascii="Cambria Math" w:hAnsi="Cambria Math"/>
                      <w:i/>
                    </w:rPr>
                  </m:ctrlPr>
                </m:sSubPr>
                <m:e>
                  <m:r>
                    <w:rPr>
                      <w:rFonts w:ascii="Cambria Math" w:hAnsi="Cambria Math"/>
                    </w:rPr>
                    <m:t>E</m:t>
                  </m:r>
                </m:e>
                <m:sub>
                  <m:r>
                    <w:rPr>
                      <w:rFonts w:ascii="Cambria Math" w:hAnsi="Cambria Math"/>
                    </w:rPr>
                    <m:t>ij</m:t>
                  </m:r>
                </m:sub>
              </m:sSub>
            </m:den>
          </m:f>
        </m:oMath>
      </m:oMathPara>
    </w:p>
    <w:p w:rsidR="00A40845" w:rsidRPr="001630AE" w:rsidRDefault="00D90A99" w:rsidP="001630AE">
      <w:r w:rsidRPr="001630AE">
        <w:t xml:space="preserve">para </w:t>
      </w:r>
      <w:r w:rsidR="00346243">
        <w:t xml:space="preserve">cada una de las celdas de </w:t>
      </w:r>
      <w:r w:rsidRPr="001630AE">
        <w:t xml:space="preserve">tabla de contingencia </w:t>
      </w:r>
      <w:r w:rsidR="00346243">
        <w:t xml:space="preserve">con fila i y </w:t>
      </w:r>
      <w:r w:rsidRPr="001630AE">
        <w:t xml:space="preserve">columna j, donde i = </w:t>
      </w:r>
      <w:proofErr w:type="gramStart"/>
      <w:r w:rsidRPr="001630AE">
        <w:t>1,. . .</w:t>
      </w:r>
      <w:proofErr w:type="gramEnd"/>
      <w:r w:rsidRPr="001630AE">
        <w:t xml:space="preserve"> , I y j = 1,. . . , J.</w:t>
      </w:r>
      <w:r w:rsidR="0053457F">
        <w:t xml:space="preserve"> </w:t>
      </w:r>
      <w:r w:rsidR="00214591">
        <w:t>La función de densidad de λ</w:t>
      </w:r>
      <w:r w:rsidR="00346243">
        <w:t xml:space="preserve"> viene dada por la mezcla de dos distribuciones Gamma</w:t>
      </w:r>
      <w:r w:rsidR="006F516F">
        <w:t xml:space="preserve"> y los parámetros pueden ser estimados utilizando la data observada</w:t>
      </w:r>
      <w:r w:rsidR="00A40845" w:rsidRPr="001630AE">
        <w:t xml:space="preserve">: </w:t>
      </w:r>
    </w:p>
    <w:p w:rsidR="00A40845" w:rsidRPr="001630AE" w:rsidRDefault="00A40845" w:rsidP="001630AE">
      <w:pPr>
        <w:rPr>
          <w:rFonts w:asciiTheme="minorHAnsi" w:hAnsiTheme="minorHAnsi"/>
        </w:rPr>
      </w:pPr>
      <m:oMathPara>
        <m:oMath>
          <m:r>
            <w:rPr>
              <w:rFonts w:ascii="Cambria Math" w:hAnsi="Cambria Math"/>
            </w:rPr>
            <m:t>π</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eastAsiaTheme="minorEastAsia"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eastAsiaTheme="minorEastAsia"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eastAsiaTheme="minorEastAsia"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eastAsiaTheme="minorEastAsia"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r>
                <w:rPr>
                  <w:rFonts w:ascii="Cambria Math" w:hAnsi="Cambria Math"/>
                </w:rPr>
                <m:t>P</m:t>
              </m:r>
            </m:e>
          </m:d>
          <m:r>
            <m:rPr>
              <m:sty m:val="p"/>
            </m:rPr>
            <w:rPr>
              <w:rFonts w:ascii="Cambria Math" w:hAnsi="Cambria Math"/>
            </w:rPr>
            <m:t>=</m:t>
          </m:r>
          <m:r>
            <w:rPr>
              <w:rFonts w:ascii="Cambria Math" w:hAnsi="Cambria Math"/>
            </w:rPr>
            <m:t>P</m:t>
          </m:r>
          <m:r>
            <m:rPr>
              <m:sty m:val="p"/>
            </m:rP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r>
                    <w:rPr>
                      <w:rFonts w:ascii="Cambria Math" w:hAnsi="Cambria Math"/>
                    </w:rPr>
                    <m:t>β</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r>
            <w:rPr>
              <w:rFonts w:ascii="Cambria Math" w:hAnsi="Cambria Math"/>
            </w:rPr>
            <m:t>g</m:t>
          </m:r>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r>
                <w:rPr>
                  <w:rFonts w:ascii="Cambria Math" w:hAnsi="Cambria Math"/>
                </w:rPr>
                <m:t>β</m:t>
              </m:r>
            </m:e>
            <m:sub>
              <m:r>
                <m:rPr>
                  <m:sty m:val="p"/>
                </m:rPr>
                <w:rPr>
                  <w:rFonts w:ascii="Cambria Math" w:hAnsi="Cambria Math"/>
                </w:rPr>
                <m:t>2</m:t>
              </m:r>
            </m:sub>
          </m:sSub>
          <m:r>
            <m:rPr>
              <m:sty m:val="p"/>
            </m:rPr>
            <w:rPr>
              <w:rFonts w:ascii="Cambria Math" w:hAnsi="Cambria Math"/>
            </w:rPr>
            <m:t>)</m:t>
          </m:r>
        </m:oMath>
      </m:oMathPara>
    </w:p>
    <w:p w:rsidR="00A40845" w:rsidRPr="001630AE" w:rsidRDefault="006F516F" w:rsidP="001630AE">
      <w:r>
        <w:t>Siendo g una distribución G</w:t>
      </w:r>
      <w:r w:rsidR="00A40845" w:rsidRPr="001630AE">
        <w:t>amma con parámetros</w:t>
      </w:r>
      <m:oMath>
        <m:r>
          <w:rPr>
            <w:rFonts w:ascii="Cambria Math" w:hAnsi="Cambria Math"/>
          </w:rPr>
          <m:t xml:space="preserve"> α</m:t>
        </m:r>
      </m:oMath>
      <w:r w:rsidR="00A40845" w:rsidRPr="001630AE">
        <w:t xml:space="preserve"> y </w:t>
      </w:r>
      <m:oMath>
        <m:r>
          <w:rPr>
            <w:rFonts w:ascii="Cambria Math" w:hAnsi="Cambria Math"/>
          </w:rPr>
          <m:t>β</m:t>
        </m:r>
      </m:oMath>
      <w:r w:rsidR="00346243">
        <w:t xml:space="preserve"> y P la probabilidad de pertenecer a la mezcla droga-producto.</w:t>
      </w:r>
      <w:r>
        <w:t xml:space="preserve"> </w:t>
      </w:r>
    </w:p>
    <w:p w:rsidR="00D90A99" w:rsidRPr="001630AE" w:rsidRDefault="006F516F" w:rsidP="001630AE">
      <w:r>
        <w:t xml:space="preserve">La distribución de λ una vez conocidos los N datos es: </w:t>
      </w:r>
    </w:p>
    <w:p w:rsidR="00426315" w:rsidRPr="001630AE" w:rsidRDefault="00426315" w:rsidP="001630AE">
      <w:pPr>
        <w:rPr>
          <w:rFonts w:asciiTheme="minorHAnsi" w:hAnsiTheme="minorHAnsi"/>
        </w:rPr>
      </w:pPr>
      <m:oMathPara>
        <m:oMath>
          <m:r>
            <w:rPr>
              <w:rFonts w:ascii="Cambria Math" w:hAnsi="Cambria Math"/>
            </w:rPr>
            <m:t>λ</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 xml:space="preserve"> ~ </m:t>
          </m:r>
          <m:r>
            <w:rPr>
              <w:rFonts w:ascii="Cambria Math" w:hAnsi="Cambria Math"/>
            </w:rPr>
            <m:t>π</m:t>
          </m:r>
          <m:r>
            <m:rPr>
              <m:sty m:val="p"/>
            </m:rPr>
            <w:rPr>
              <w:rFonts w:ascii="Cambria Math" w:hAnsi="Cambria Math"/>
            </w:rPr>
            <m:t>(</m:t>
          </m:r>
          <m:r>
            <w:rPr>
              <w:rFonts w:ascii="Cambria Math" w:hAnsi="Cambria Math"/>
            </w:rPr>
            <m:t>λ</m:t>
          </m:r>
          <m:r>
            <m:rPr>
              <m:sty m:val="p"/>
            </m:rPr>
            <w:rPr>
              <w:rFonts w:ascii="Cambria Math" w:hAnsi="Cambria Math"/>
            </w:rPr>
            <m:t xml:space="preserve">; </m:t>
          </m:r>
          <m:sSub>
            <m:sSubPr>
              <m:ctrlPr>
                <w:rPr>
                  <w:rFonts w:ascii="Cambria Math" w:eastAsiaTheme="minorEastAsia"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eastAsiaTheme="minorEastAsia" w:hAnsi="Cambria Math"/>
                </w:rPr>
              </m:ctrlPr>
            </m:sSubPr>
            <m:e>
              <m:r>
                <m:rPr>
                  <m:sty m:val="p"/>
                </m:rPr>
                <w:rPr>
                  <w:rFonts w:ascii="Cambria Math" w:hAnsi="Cambria Math"/>
                </w:rPr>
                <m:t xml:space="preserve"> </m:t>
              </m:r>
              <m:r>
                <w:rPr>
                  <w:rFonts w:ascii="Cambria Math" w:hAnsi="Cambria Math"/>
                </w:rPr>
                <m:t>β</m:t>
              </m:r>
            </m:e>
            <m:sub>
              <m:r>
                <m:rPr>
                  <m:sty m:val="p"/>
                </m:rPr>
                <w:rPr>
                  <w:rFonts w:ascii="Cambria Math" w:hAnsi="Cambria Math"/>
                </w:rPr>
                <m:t>2</m:t>
              </m:r>
            </m:sub>
          </m:sSub>
          <m:r>
            <m:rPr>
              <m:sty m:val="p"/>
            </m:rPr>
            <w:rPr>
              <w:rFonts w:ascii="Cambria Math" w:hAnsi="Cambria Math"/>
            </w:rPr>
            <m:t>+</m:t>
          </m:r>
          <m:r>
            <w:rPr>
              <w:rFonts w:ascii="Cambria Math" w:hAnsi="Cambria Math"/>
            </w:rPr>
            <m:t>E</m:t>
          </m:r>
          <m:r>
            <m:rPr>
              <m:sty m:val="p"/>
            </m:rPr>
            <w:rPr>
              <w:rFonts w:ascii="Cambria Math" w:hAnsi="Cambria Math"/>
            </w:rPr>
            <m:t xml:space="preserve">, </m:t>
          </m:r>
          <m:sSub>
            <m:sSubPr>
              <m:ctrlPr>
                <w:rPr>
                  <w:rFonts w:ascii="Cambria Math" w:eastAsiaTheme="minorEastAsia"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r>
            <w:rPr>
              <w:rFonts w:ascii="Cambria Math" w:hAnsi="Cambria Math"/>
            </w:rPr>
            <m:t>n</m:t>
          </m:r>
          <m:r>
            <m:rPr>
              <m:sty m:val="p"/>
            </m:rPr>
            <w:rPr>
              <w:rFonts w:ascii="Cambria Math" w:hAnsi="Cambria Math"/>
            </w:rPr>
            <m:t xml:space="preserve">, </m:t>
          </m:r>
          <m:sSub>
            <m:sSubPr>
              <m:ctrlPr>
                <w:rPr>
                  <w:rFonts w:ascii="Cambria Math" w:eastAsiaTheme="minorEastAsia" w:hAnsi="Cambria Math"/>
                </w:rPr>
              </m:ctrlPr>
            </m:sSubPr>
            <m:e>
              <m:r>
                <m:rPr>
                  <m:sty m:val="p"/>
                </m:rPr>
                <w:rPr>
                  <w:rFonts w:ascii="Cambria Math" w:hAnsi="Cambria Math"/>
                </w:rPr>
                <m:t xml:space="preserve"> </m:t>
              </m:r>
              <m:r>
                <w:rPr>
                  <w:rFonts w:ascii="Cambria Math" w:hAnsi="Cambria Math"/>
                </w:rPr>
                <m:t>β</m:t>
              </m:r>
            </m:e>
            <m:sub>
              <m:r>
                <m:rPr>
                  <m:sty m:val="p"/>
                </m:rPr>
                <w:rPr>
                  <w:rFonts w:ascii="Cambria Math" w:hAnsi="Cambria Math"/>
                </w:rPr>
                <m:t>2</m:t>
              </m:r>
            </m:sub>
          </m:sSub>
          <m:r>
            <m:rPr>
              <m:sty m:val="p"/>
            </m:rPr>
            <w:rPr>
              <w:rFonts w:ascii="Cambria Math" w:hAnsi="Cambria Math"/>
            </w:rPr>
            <m:t>+</m:t>
          </m:r>
          <m:r>
            <w:rPr>
              <w:rFonts w:ascii="Cambria Math" w:hAnsi="Cambria Math"/>
            </w:rPr>
            <m:t>E</m:t>
          </m:r>
          <m:r>
            <m:rPr>
              <m:sty m:val="p"/>
            </m:rPr>
            <w:rPr>
              <w:rFonts w:ascii="Cambria Math" w:hAnsi="Cambria Math"/>
            </w:rPr>
            <m:t xml:space="preserve">, </m:t>
          </m:r>
          <m:sSub>
            <m:sSubPr>
              <m:ctrlPr>
                <w:rPr>
                  <w:rFonts w:ascii="Cambria Math" w:eastAsiaTheme="minorEastAsia"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oMath>
      </m:oMathPara>
    </w:p>
    <w:p w:rsidR="004E1748" w:rsidRPr="001630AE" w:rsidRDefault="004E1748" w:rsidP="001630AE">
      <w:r w:rsidRPr="001630AE">
        <w:t>Donde</w:t>
      </w:r>
      <w:r w:rsidR="006F516F">
        <w:t xml:space="preserve"> </w:t>
      </w:r>
      <w:r w:rsidR="00096775" w:rsidRPr="001630AE">
        <w:t xml:space="preserve">E </w:t>
      </w:r>
      <w:r w:rsidR="006F516F">
        <w:t xml:space="preserve">es la cantidad esperada de eventos </w:t>
      </w:r>
      <w:r w:rsidR="00096775" w:rsidRPr="001630AE">
        <w:t xml:space="preserve">y </w:t>
      </w:r>
      <m:oMath>
        <m:sSub>
          <m:sSubPr>
            <m:ctrlPr>
              <w:rPr>
                <w:rFonts w:ascii="Cambria Math" w:eastAsiaTheme="minorEastAsia" w:hAnsi="Cambria Math"/>
                <w:i/>
              </w:rPr>
            </m:ctrlPr>
          </m:sSubPr>
          <m:e>
            <m:r>
              <w:rPr>
                <w:rFonts w:ascii="Cambria Math" w:hAnsi="Cambria Math"/>
              </w:rPr>
              <m:t>Q</m:t>
            </m:r>
          </m:e>
          <m:sub>
            <m:r>
              <w:rPr>
                <w:rFonts w:ascii="Cambria Math" w:hAnsi="Cambria Math"/>
              </w:rPr>
              <m:t>n</m:t>
            </m:r>
          </m:sub>
        </m:sSub>
      </m:oMath>
      <w:r w:rsidRPr="001630AE">
        <w:t xml:space="preserve"> es la probabilidad a posterior de que λ vi</w:t>
      </w:r>
      <w:r w:rsidR="00CA3BF4" w:rsidRPr="001630AE">
        <w:t>ene de la</w:t>
      </w:r>
      <w:r w:rsidR="006F516F">
        <w:t xml:space="preserve"> primera</w:t>
      </w:r>
      <w:r w:rsidR="00CA3BF4" w:rsidRPr="001630AE">
        <w:t xml:space="preserve"> </w:t>
      </w:r>
      <w:r w:rsidR="006F516F">
        <w:t>mezcla droga-producto.</w:t>
      </w:r>
    </w:p>
    <w:p w:rsidR="00886EE5" w:rsidRPr="001630AE" w:rsidRDefault="00CA3BF4" w:rsidP="001630AE">
      <w:r w:rsidRPr="00EB4ED5">
        <w:t xml:space="preserve">Para </w:t>
      </w:r>
      <w:r w:rsidR="0046793A">
        <w:t>consultar</w:t>
      </w:r>
      <w:r w:rsidR="00EB4ED5" w:rsidRPr="00EB4ED5">
        <w:t xml:space="preserve"> m</w:t>
      </w:r>
      <w:r w:rsidR="0046793A">
        <w:t xml:space="preserve">ás detalle respecto al desarrollo del método referirse a </w:t>
      </w:r>
      <w:proofErr w:type="spellStart"/>
      <w:r w:rsidRPr="00EB4ED5">
        <w:rPr>
          <w:i/>
          <w:iCs/>
        </w:rPr>
        <w:t>Bayesian</w:t>
      </w:r>
      <w:proofErr w:type="spellEnd"/>
      <w:r w:rsidRPr="00EB4ED5">
        <w:rPr>
          <w:i/>
          <w:iCs/>
        </w:rPr>
        <w:t xml:space="preserve"> data </w:t>
      </w:r>
      <w:proofErr w:type="spellStart"/>
      <w:r w:rsidRPr="00EB4ED5">
        <w:rPr>
          <w:i/>
          <w:iCs/>
        </w:rPr>
        <w:t>mining</w:t>
      </w:r>
      <w:proofErr w:type="spellEnd"/>
      <w:r w:rsidRPr="00EB4ED5">
        <w:rPr>
          <w:i/>
          <w:iCs/>
        </w:rPr>
        <w:t xml:space="preserve"> in </w:t>
      </w:r>
      <w:proofErr w:type="spellStart"/>
      <w:r w:rsidRPr="00EB4ED5">
        <w:rPr>
          <w:i/>
          <w:iCs/>
        </w:rPr>
        <w:t>large</w:t>
      </w:r>
      <w:proofErr w:type="spellEnd"/>
      <w:r w:rsidRPr="00EB4ED5">
        <w:rPr>
          <w:i/>
          <w:iCs/>
        </w:rPr>
        <w:t xml:space="preserve"> </w:t>
      </w:r>
      <w:proofErr w:type="spellStart"/>
      <w:r w:rsidRPr="00EB4ED5">
        <w:rPr>
          <w:i/>
          <w:iCs/>
        </w:rPr>
        <w:t>frequency</w:t>
      </w:r>
      <w:proofErr w:type="spellEnd"/>
      <w:r w:rsidRPr="00EB4ED5">
        <w:rPr>
          <w:i/>
          <w:iCs/>
        </w:rPr>
        <w:t xml:space="preserve"> </w:t>
      </w:r>
      <w:proofErr w:type="spellStart"/>
      <w:r w:rsidRPr="00EB4ED5">
        <w:rPr>
          <w:i/>
          <w:iCs/>
        </w:rPr>
        <w:t>tables</w:t>
      </w:r>
      <w:proofErr w:type="spellEnd"/>
      <w:r w:rsidRPr="00EB4ED5">
        <w:rPr>
          <w:i/>
          <w:iCs/>
        </w:rPr>
        <w:t xml:space="preserve">, </w:t>
      </w:r>
      <w:proofErr w:type="spellStart"/>
      <w:r w:rsidRPr="00EB4ED5">
        <w:rPr>
          <w:i/>
          <w:iCs/>
        </w:rPr>
        <w:t>with</w:t>
      </w:r>
      <w:proofErr w:type="spellEnd"/>
      <w:r w:rsidRPr="00EB4ED5">
        <w:rPr>
          <w:i/>
          <w:iCs/>
        </w:rPr>
        <w:t xml:space="preserve"> </w:t>
      </w:r>
      <w:proofErr w:type="spellStart"/>
      <w:r w:rsidRPr="00EB4ED5">
        <w:rPr>
          <w:i/>
          <w:iCs/>
        </w:rPr>
        <w:t>an</w:t>
      </w:r>
      <w:proofErr w:type="spellEnd"/>
      <w:r w:rsidRPr="00EB4ED5">
        <w:rPr>
          <w:i/>
          <w:iCs/>
        </w:rPr>
        <w:t xml:space="preserve"> </w:t>
      </w:r>
      <w:proofErr w:type="spellStart"/>
      <w:r w:rsidRPr="00EB4ED5">
        <w:rPr>
          <w:i/>
          <w:iCs/>
        </w:rPr>
        <w:t>application</w:t>
      </w:r>
      <w:proofErr w:type="spellEnd"/>
      <w:r w:rsidRPr="00EB4ED5">
        <w:rPr>
          <w:i/>
          <w:iCs/>
        </w:rPr>
        <w:t xml:space="preserve"> to </w:t>
      </w:r>
      <w:proofErr w:type="spellStart"/>
      <w:r w:rsidRPr="00EB4ED5">
        <w:rPr>
          <w:i/>
          <w:iCs/>
        </w:rPr>
        <w:t>the</w:t>
      </w:r>
      <w:proofErr w:type="spellEnd"/>
      <w:r w:rsidRPr="00EB4ED5">
        <w:rPr>
          <w:i/>
          <w:iCs/>
        </w:rPr>
        <w:t xml:space="preserve"> FDA </w:t>
      </w:r>
      <w:proofErr w:type="spellStart"/>
      <w:r w:rsidRPr="00EB4ED5">
        <w:rPr>
          <w:i/>
          <w:iCs/>
        </w:rPr>
        <w:t>spontaneous</w:t>
      </w:r>
      <w:proofErr w:type="spellEnd"/>
      <w:r w:rsidRPr="00EB4ED5">
        <w:rPr>
          <w:i/>
          <w:iCs/>
        </w:rPr>
        <w:t xml:space="preserve"> </w:t>
      </w:r>
      <w:proofErr w:type="spellStart"/>
      <w:r w:rsidRPr="00EB4ED5">
        <w:rPr>
          <w:i/>
          <w:iCs/>
        </w:rPr>
        <w:t>reporting</w:t>
      </w:r>
      <w:proofErr w:type="spellEnd"/>
      <w:r w:rsidRPr="00EB4ED5">
        <w:rPr>
          <w:i/>
          <w:iCs/>
        </w:rPr>
        <w:t xml:space="preserve"> </w:t>
      </w:r>
      <w:proofErr w:type="spellStart"/>
      <w:r w:rsidRPr="00EB4ED5">
        <w:rPr>
          <w:i/>
          <w:iCs/>
        </w:rPr>
        <w:t>system</w:t>
      </w:r>
      <w:proofErr w:type="spellEnd"/>
      <w:r w:rsidRPr="00EB4ED5">
        <w:t xml:space="preserve">. </w:t>
      </w:r>
      <w:sdt>
        <w:sdtPr>
          <w:id w:val="-185062770"/>
          <w:citation/>
        </w:sdtPr>
        <w:sdtEndPr/>
        <w:sdtContent>
          <w:r w:rsidRPr="001630AE">
            <w:fldChar w:fldCharType="begin"/>
          </w:r>
          <w:r w:rsidRPr="00EB4ED5">
            <w:instrText xml:space="preserve"> CITATION DuM99 \l 11274 </w:instrText>
          </w:r>
          <w:r w:rsidRPr="001630AE">
            <w:fldChar w:fldCharType="separate"/>
          </w:r>
          <w:r w:rsidRPr="001630AE">
            <w:rPr>
              <w:noProof/>
            </w:rPr>
            <w:t>(DuMouchel W. , 1999)</w:t>
          </w:r>
          <w:r w:rsidRPr="001630AE">
            <w:fldChar w:fldCharType="end"/>
          </w:r>
        </w:sdtContent>
      </w:sdt>
    </w:p>
    <w:p w:rsidR="0069453B" w:rsidRDefault="0069453B" w:rsidP="0069453B">
      <w:pPr>
        <w:pStyle w:val="Heading3"/>
      </w:pPr>
      <w:r>
        <w:t>Estimación de hiperparámetros</w:t>
      </w:r>
    </w:p>
    <w:p w:rsidR="00765E8F" w:rsidRPr="00765E8F" w:rsidRDefault="00765E8F" w:rsidP="00765E8F">
      <w:r>
        <w:t>Los hiperparámetros que se deben estimar son los correspondientes a la función de densidad λ:</w:t>
      </w:r>
    </w:p>
    <w:p w:rsidR="00765E8F" w:rsidRPr="0053457F" w:rsidRDefault="00765E8F" w:rsidP="00765E8F">
      <m:oMathPara>
        <m:oMath>
          <m:r>
            <w:rPr>
              <w:rFonts w:ascii="Cambria Math" w:hAnsi="Cambria Math"/>
            </w:rPr>
            <m:t>θ=(</m:t>
          </m:r>
          <m:sSub>
            <m:sSubPr>
              <m:ctrlPr>
                <w:rPr>
                  <w:rFonts w:ascii="Cambria Math" w:eastAsiaTheme="minorEastAsia" w:hAnsi="Cambria Math"/>
                </w:rPr>
              </m:ctrlPr>
            </m:sSubPr>
            <m:e>
              <m:r>
                <w:rPr>
                  <w:rFonts w:ascii="Cambria Math" w:hAnsi="Cambria Math"/>
                </w:rPr>
                <m:t>α</m:t>
              </m:r>
            </m:e>
            <m:sub>
              <m:r>
                <m:rPr>
                  <m:sty m:val="p"/>
                </m:rPr>
                <w:rPr>
                  <w:rFonts w:ascii="Cambria Math" w:hAnsi="Cambria Math"/>
                </w:rPr>
                <m:t>1</m:t>
              </m:r>
            </m:sub>
          </m:sSub>
          <m:r>
            <w:rPr>
              <w:rFonts w:ascii="Cambria Math" w:hAnsi="Cambria Math"/>
            </w:rPr>
            <m:t>,</m:t>
          </m:r>
          <m:sSub>
            <m:sSubPr>
              <m:ctrlPr>
                <w:rPr>
                  <w:rFonts w:ascii="Cambria Math" w:eastAsiaTheme="minorEastAsia"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eastAsiaTheme="minorEastAsia" w:hAnsi="Cambria Math"/>
                </w:rPr>
              </m:ctrlPr>
            </m:sSubPr>
            <m:e>
              <m:r>
                <w:rPr>
                  <w:rFonts w:ascii="Cambria Math" w:hAnsi="Cambria Math"/>
                </w:rPr>
                <m:t>α</m:t>
              </m:r>
            </m:e>
            <m:sub>
              <m:r>
                <w:rPr>
                  <w:rFonts w:ascii="Cambria Math" w:eastAsiaTheme="minorEastAsia" w:hAnsi="Cambria Math"/>
                </w:rPr>
                <m:t>2</m:t>
              </m:r>
            </m:sub>
          </m:sSub>
          <m:r>
            <w:rPr>
              <w:rFonts w:ascii="Cambria Math" w:hAnsi="Cambria Math"/>
            </w:rPr>
            <m:t>,</m:t>
          </m:r>
          <m:sSub>
            <m:sSubPr>
              <m:ctrlPr>
                <w:rPr>
                  <w:rFonts w:ascii="Cambria Math" w:eastAsiaTheme="minorEastAsia" w:hAnsi="Cambria Math"/>
                </w:rPr>
              </m:ctrlPr>
            </m:sSubPr>
            <m:e>
              <m:r>
                <w:rPr>
                  <w:rFonts w:ascii="Cambria Math" w:hAnsi="Cambria Math"/>
                </w:rPr>
                <m:t>β</m:t>
              </m:r>
            </m:e>
            <m:sub>
              <m:r>
                <m:rPr>
                  <m:sty m:val="p"/>
                </m:rPr>
                <w:rPr>
                  <w:rFonts w:ascii="Cambria Math" w:hAnsi="Cambria Math"/>
                </w:rPr>
                <m:t>2</m:t>
              </m:r>
            </m:sub>
          </m:sSub>
          <m:r>
            <w:rPr>
              <w:rFonts w:ascii="Cambria Math" w:hAnsi="Cambria Math"/>
            </w:rPr>
            <m:t>, P)</m:t>
          </m:r>
        </m:oMath>
      </m:oMathPara>
    </w:p>
    <w:p w:rsidR="00765E8F" w:rsidRDefault="0053457F" w:rsidP="0069453B">
      <w:pPr>
        <w:rPr>
          <w:highlight w:val="yellow"/>
        </w:rPr>
      </w:pPr>
      <w:r>
        <w:t xml:space="preserve">La distribución marginal de cada valor observado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está dada por la mezcla de dos distribuciones binomiales negativas</w:t>
      </w:r>
      <w:r w:rsidR="00AD4DCD">
        <w:t xml:space="preserve">, estas distribuciones se derivan de una mezcla de distribución de Poisson donde las medias tienen distribución Gamma. </w:t>
      </w:r>
      <w:r w:rsidR="00AD4DCD" w:rsidRPr="00AD4DCD">
        <w:t>S</w:t>
      </w:r>
      <w:r w:rsidR="001C2F98" w:rsidRPr="00AD4DCD">
        <w:t>e define</w:t>
      </w:r>
      <w:r w:rsidR="00AD4DCD" w:rsidRPr="00AD4DCD">
        <w:t xml:space="preserve"> entonces</w:t>
      </w:r>
      <w:r w:rsidR="00765E8F" w:rsidRPr="00AD4DCD">
        <w:t xml:space="preserve"> </w:t>
      </w:r>
      <w:r w:rsidR="001C2F98" w:rsidRPr="00AD4DCD">
        <w:t xml:space="preserve">la función de </w:t>
      </w:r>
      <w:r w:rsidR="00EF74D2">
        <w:t>v</w:t>
      </w:r>
      <w:r w:rsidR="001C2F98" w:rsidRPr="00AD4DCD">
        <w:t>erosimilitud, como producto de M mezclas de dos densidades binomiales negativas:</w:t>
      </w:r>
    </w:p>
    <w:p w:rsidR="001C2F98" w:rsidRPr="001C2F98" w:rsidRDefault="001C2F98" w:rsidP="001C2F98">
      <m:oMathPara>
        <m:oMath>
          <m:r>
            <w:rPr>
              <w:rFonts w:ascii="Cambria Math" w:hAnsi="Cambria Math"/>
            </w:rPr>
            <m:t>L(θ)=</m:t>
          </m:r>
          <m:nary>
            <m:naryPr>
              <m:chr m:val="∏"/>
              <m:limLoc m:val="subSup"/>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eastAsiaTheme="minorEastAsia" w:hAnsi="Cambria Math"/>
                            </w:rPr>
                          </m:ctrlPr>
                        </m:sSubPr>
                        <m:e>
                          <m:r>
                            <w:rPr>
                              <w:rFonts w:ascii="Cambria Math" w:hAnsi="Cambria Math"/>
                            </w:rPr>
                            <m:t>α</m:t>
                          </m:r>
                        </m:e>
                        <m:sub>
                          <m:r>
                            <m:rPr>
                              <m:sty m:val="p"/>
                            </m:rPr>
                            <w:rPr>
                              <w:rFonts w:ascii="Cambria Math" w:hAnsi="Cambria Math"/>
                            </w:rPr>
                            <m:t>1</m:t>
                          </m:r>
                        </m:sub>
                      </m:sSub>
                      <m:r>
                        <w:rPr>
                          <w:rFonts w:ascii="Cambria Math" w:hAnsi="Cambria Math"/>
                        </w:rPr>
                        <m:t>,</m:t>
                      </m:r>
                      <m:sSub>
                        <m:sSubPr>
                          <m:ctrlPr>
                            <w:rPr>
                              <w:rFonts w:ascii="Cambria Math" w:eastAsiaTheme="minorEastAsia" w:hAnsi="Cambria Math"/>
                            </w:rPr>
                          </m:ctrlPr>
                        </m:sSubPr>
                        <m:e>
                          <m:r>
                            <w:rPr>
                              <w:rFonts w:ascii="Cambria Math" w:hAnsi="Cambria Math"/>
                            </w:rPr>
                            <m:t>β</m:t>
                          </m:r>
                        </m:e>
                        <m:sub>
                          <m:r>
                            <m:rPr>
                              <m:sty m:val="p"/>
                            </m:rP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eastAsiaTheme="minorEastAsia" w:hAnsi="Cambria Math"/>
                            </w:rPr>
                          </m:ctrlPr>
                        </m:sSubPr>
                        <m:e>
                          <m:r>
                            <w:rPr>
                              <w:rFonts w:ascii="Cambria Math" w:hAnsi="Cambria Math"/>
                            </w:rPr>
                            <m:t>α</m:t>
                          </m:r>
                        </m:e>
                        <m:sub>
                          <m:r>
                            <m:rPr>
                              <m:sty m:val="p"/>
                            </m:rPr>
                            <w:rPr>
                              <w:rFonts w:ascii="Cambria Math" w:hAnsi="Cambria Math"/>
                            </w:rPr>
                            <m:t>2</m:t>
                          </m:r>
                        </m:sub>
                      </m:sSub>
                      <m:r>
                        <w:rPr>
                          <w:rFonts w:ascii="Cambria Math" w:hAnsi="Cambria Math"/>
                        </w:rPr>
                        <m:t>,</m:t>
                      </m:r>
                      <m:sSub>
                        <m:sSubPr>
                          <m:ctrlPr>
                            <w:rPr>
                              <w:rFonts w:ascii="Cambria Math" w:eastAsiaTheme="minorEastAsia" w:hAnsi="Cambria Math"/>
                            </w:rPr>
                          </m:ctrlPr>
                        </m:sSubPr>
                        <m:e>
                          <m:r>
                            <w:rPr>
                              <w:rFonts w:ascii="Cambria Math"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e>
                  </m:d>
                </m:e>
              </m:d>
            </m:e>
          </m:nary>
        </m:oMath>
      </m:oMathPara>
    </w:p>
    <w:p w:rsidR="001C2F98" w:rsidRPr="001C2F98" w:rsidRDefault="001C2F98" w:rsidP="0069453B">
      <w:r>
        <w:rPr>
          <w:noProof/>
        </w:rPr>
        <w:lastRenderedPageBreak/>
        <w:t>Es necesario iterar con valores iniciales de</w:t>
      </w:r>
      <m:oMath>
        <m:r>
          <w:rPr>
            <w:rFonts w:ascii="Cambria Math" w:hAnsi="Cambria Math"/>
            <w:noProof/>
          </w:rPr>
          <m:t xml:space="preserve"> </m:t>
        </m:r>
        <m:sSub>
          <m:sSubPr>
            <m:ctrlPr>
              <w:rPr>
                <w:rFonts w:ascii="Cambria Math" w:eastAsiaTheme="minorEastAsia" w:hAnsi="Cambria Math"/>
              </w:rPr>
            </m:ctrlPr>
          </m:sSubPr>
          <m:e>
            <m:r>
              <w:rPr>
                <w:rFonts w:ascii="Cambria Math" w:hAnsi="Cambria Math"/>
              </w:rPr>
              <m:t>α</m:t>
            </m:r>
          </m:e>
          <m:sub>
            <m:r>
              <m:rPr>
                <m:sty m:val="p"/>
              </m:rPr>
              <w:rPr>
                <w:rFonts w:ascii="Cambria Math" w:hAnsi="Cambria Math"/>
              </w:rPr>
              <m:t>1</m:t>
            </m:r>
          </m:sub>
        </m:sSub>
        <m:r>
          <w:rPr>
            <w:rFonts w:ascii="Cambria Math" w:hAnsi="Cambria Math"/>
          </w:rPr>
          <m:t>,</m:t>
        </m:r>
        <m:sSub>
          <m:sSubPr>
            <m:ctrlPr>
              <w:rPr>
                <w:rFonts w:ascii="Cambria Math" w:eastAsiaTheme="minorEastAsia"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eastAsiaTheme="minorEastAsia" w:hAnsi="Cambria Math"/>
              </w:rPr>
            </m:ctrlPr>
          </m:sSubPr>
          <m:e>
            <m:r>
              <w:rPr>
                <w:rFonts w:ascii="Cambria Math" w:hAnsi="Cambria Math"/>
              </w:rPr>
              <m:t>α</m:t>
            </m:r>
          </m:e>
          <m:sub>
            <m:r>
              <w:rPr>
                <w:rFonts w:ascii="Cambria Math" w:eastAsiaTheme="minorEastAsia" w:hAnsi="Cambria Math"/>
              </w:rPr>
              <m:t>2</m:t>
            </m:r>
          </m:sub>
        </m:sSub>
        <m:r>
          <w:rPr>
            <w:rFonts w:ascii="Cambria Math" w:hAnsi="Cambria Math"/>
          </w:rPr>
          <m:t>,</m:t>
        </m:r>
        <m:sSub>
          <m:sSubPr>
            <m:ctrlPr>
              <w:rPr>
                <w:rFonts w:ascii="Cambria Math" w:eastAsiaTheme="minorEastAsia" w:hAnsi="Cambria Math"/>
              </w:rPr>
            </m:ctrlPr>
          </m:sSubPr>
          <m:e>
            <m:r>
              <w:rPr>
                <w:rFonts w:ascii="Cambria Math" w:hAnsi="Cambria Math"/>
              </w:rPr>
              <m:t>β</m:t>
            </m:r>
          </m:e>
          <m:sub>
            <m:r>
              <m:rPr>
                <m:sty m:val="p"/>
              </m:rPr>
              <w:rPr>
                <w:rFonts w:ascii="Cambria Math" w:hAnsi="Cambria Math"/>
              </w:rPr>
              <m:t>2</m:t>
            </m:r>
          </m:sub>
        </m:sSub>
        <m:r>
          <w:rPr>
            <w:rFonts w:ascii="Cambria Math" w:eastAsiaTheme="minorEastAsia" w:hAnsi="Cambria Math"/>
          </w:rPr>
          <m:t xml:space="preserve"> </m:t>
        </m:r>
      </m:oMath>
      <w:r>
        <w:rPr>
          <w:noProof/>
        </w:rPr>
        <w:t>y P</w:t>
      </w:r>
      <w:r w:rsidR="00F261E9">
        <w:rPr>
          <w:noProof/>
        </w:rPr>
        <w:t xml:space="preserve"> hasta alcanzar el valor máximo de la función de verosimilitud.</w:t>
      </w:r>
      <w:r w:rsidR="00F261E9">
        <w:t xml:space="preserve"> </w:t>
      </w:r>
      <w:r w:rsidR="00B344CB">
        <w:t xml:space="preserve">Esta estimación puede realizarse </w:t>
      </w:r>
      <w:r w:rsidR="00F31D6C">
        <w:t>utilizando toda la base de datos</w:t>
      </w:r>
      <w:r w:rsidR="00B344CB">
        <w:t xml:space="preserve"> usando una versión compacta que se describe a continuación.</w:t>
      </w:r>
    </w:p>
    <w:p w:rsidR="0069453B" w:rsidRDefault="0069453B" w:rsidP="0069453B">
      <w:pPr>
        <w:pStyle w:val="Heading3"/>
      </w:pPr>
      <w:r>
        <w:t>Reducción de la cantidad de observaciones</w:t>
      </w:r>
    </w:p>
    <w:p w:rsidR="0069453B" w:rsidRDefault="0069453B" w:rsidP="00EF74D2">
      <w:r>
        <w:t>En la práctica, los cálculos de estos hiperparámetros resultan en una gran carga computacional. Es por ello que s</w:t>
      </w:r>
      <w:r w:rsidRPr="004D3DFA">
        <w:t xml:space="preserve">e utilizó la metodología propuesta por </w:t>
      </w:r>
      <w:proofErr w:type="spellStart"/>
      <w:r w:rsidRPr="004D3DFA">
        <w:t>DuMouchel</w:t>
      </w:r>
      <w:proofErr w:type="spellEnd"/>
      <w:r w:rsidRPr="004D3DFA">
        <w:t xml:space="preserve"> &amp; </w:t>
      </w:r>
      <w:proofErr w:type="spellStart"/>
      <w:r w:rsidRPr="004D3DFA">
        <w:t>Pregibon</w:t>
      </w:r>
      <w:proofErr w:type="spellEnd"/>
      <w:r w:rsidRPr="004D3DFA">
        <w:t xml:space="preserve"> de </w:t>
      </w:r>
      <w:r w:rsidRPr="004D3DFA">
        <w:rPr>
          <w:i/>
          <w:iCs/>
        </w:rPr>
        <w:t xml:space="preserve">data </w:t>
      </w:r>
      <w:proofErr w:type="spellStart"/>
      <w:r w:rsidRPr="004D3DFA">
        <w:rPr>
          <w:i/>
          <w:iCs/>
        </w:rPr>
        <w:t>squashing</w:t>
      </w:r>
      <w:proofErr w:type="spellEnd"/>
      <w:r w:rsidRPr="004D3DFA">
        <w:rPr>
          <w:i/>
          <w:iCs/>
        </w:rPr>
        <w:t xml:space="preserve"> </w:t>
      </w:r>
      <w:sdt>
        <w:sdtPr>
          <w:rPr>
            <w:i/>
            <w:iCs/>
          </w:rPr>
          <w:id w:val="754789113"/>
          <w:citation/>
        </w:sdtPr>
        <w:sdtEndPr/>
        <w:sdtContent>
          <w:r w:rsidRPr="004D3DFA">
            <w:rPr>
              <w:i/>
              <w:iCs/>
            </w:rPr>
            <w:fldChar w:fldCharType="begin"/>
          </w:r>
          <w:r w:rsidRPr="004D3DFA">
            <w:rPr>
              <w:i/>
              <w:iCs/>
            </w:rPr>
            <w:instrText xml:space="preserve"> CITATION DuM01 \l 11274 </w:instrText>
          </w:r>
          <w:r w:rsidRPr="004D3DFA">
            <w:rPr>
              <w:i/>
              <w:iCs/>
            </w:rPr>
            <w:fldChar w:fldCharType="separate"/>
          </w:r>
          <w:r w:rsidRPr="004D3DFA">
            <w:rPr>
              <w:noProof/>
            </w:rPr>
            <w:t>(DuMouchel, 2001)</w:t>
          </w:r>
          <w:r w:rsidRPr="004D3DFA">
            <w:rPr>
              <w:i/>
              <w:iCs/>
            </w:rPr>
            <w:fldChar w:fldCharType="end"/>
          </w:r>
        </w:sdtContent>
      </w:sdt>
      <w:r w:rsidRPr="004D3DFA">
        <w:rPr>
          <w:i/>
          <w:iCs/>
        </w:rPr>
        <w:t xml:space="preserve"> </w:t>
      </w:r>
      <w:r w:rsidRPr="004D3DFA">
        <w:t xml:space="preserve">para compactar la base de datos. El método se basa en agrupar los datos cercanos en </w:t>
      </w:r>
      <w:proofErr w:type="spellStart"/>
      <w:r w:rsidRPr="00D752F1">
        <w:t>super</w:t>
      </w:r>
      <w:proofErr w:type="spellEnd"/>
      <w:r w:rsidRPr="00D752F1">
        <w:t xml:space="preserve"> puntos</w:t>
      </w:r>
      <w:r>
        <w:rPr>
          <w:i/>
          <w:iCs/>
        </w:rPr>
        <w:t xml:space="preserve"> </w:t>
      </w:r>
      <w:r>
        <w:t xml:space="preserve">o </w:t>
      </w:r>
      <w:proofErr w:type="spellStart"/>
      <w:r w:rsidRPr="00D752F1">
        <w:rPr>
          <w:i/>
          <w:iCs/>
        </w:rPr>
        <w:t>bins</w:t>
      </w:r>
      <w:proofErr w:type="spellEnd"/>
      <w:r>
        <w:t xml:space="preserve"> y tomar</w:t>
      </w:r>
      <w:r w:rsidRPr="004D3DFA">
        <w:t xml:space="preserve"> como valor</w:t>
      </w:r>
      <w:r>
        <w:t xml:space="preserve"> de las variables</w:t>
      </w:r>
      <w:r w:rsidRPr="004D3DFA">
        <w:t xml:space="preserve"> el </w:t>
      </w:r>
      <w:r>
        <w:t xml:space="preserve">valor </w:t>
      </w:r>
      <w:r w:rsidRPr="004D3DFA">
        <w:t xml:space="preserve">promedio de las observaciones y </w:t>
      </w:r>
      <w:r>
        <w:t xml:space="preserve">sumar </w:t>
      </w:r>
      <w:r w:rsidRPr="004D3DFA">
        <w:t xml:space="preserve">una nueva dimensión con el peso correspondiente a la </w:t>
      </w:r>
      <w:r w:rsidRPr="001630AE">
        <w:t>cantidad de observaciones que están agrupadas.</w:t>
      </w:r>
      <w:r w:rsidRPr="004D3DFA">
        <w:t xml:space="preserve"> </w:t>
      </w:r>
    </w:p>
    <w:p w:rsidR="0069453B" w:rsidRDefault="0069453B" w:rsidP="00EF74D2">
      <w:r w:rsidRPr="004D3DFA">
        <w:t xml:space="preserve">Mediante esta técnica, se logró </w:t>
      </w:r>
      <w:r w:rsidR="00AD4DCD">
        <w:t xml:space="preserve">reducir </w:t>
      </w:r>
      <w:r w:rsidR="00EF74D2">
        <w:t>la base de datos,</w:t>
      </w:r>
      <w:r>
        <w:t xml:space="preserve"> conformad</w:t>
      </w:r>
      <w:r w:rsidR="00EF74D2">
        <w:t>a</w:t>
      </w:r>
      <w:r>
        <w:t xml:space="preserve"> por la cantidad actual, la cantidad esperada y la nueva variable de peso</w:t>
      </w:r>
      <w:r w:rsidR="00EF74D2">
        <w:t>,</w:t>
      </w:r>
      <w:r w:rsidR="00AD4DCD">
        <w:t xml:space="preserve"> un 64%.</w:t>
      </w:r>
    </w:p>
    <w:p w:rsidR="0023001D" w:rsidRDefault="0023001D" w:rsidP="001630AE">
      <w:pPr>
        <w:pStyle w:val="Heading2"/>
      </w:pPr>
      <w:r w:rsidRPr="004F03B8">
        <w:t>Resultados</w:t>
      </w:r>
    </w:p>
    <w:p w:rsidR="007A0B55" w:rsidRDefault="007A0B55" w:rsidP="007A0B55">
      <w:r w:rsidRPr="00BF49F8">
        <w:t xml:space="preserve">La base de datos compuesta únicamente por combinaciones droga-evento contiene </w:t>
      </w:r>
      <w:r w:rsidR="00BF49F8" w:rsidRPr="00BF49F8">
        <w:t xml:space="preserve">337.750 </w:t>
      </w:r>
      <w:r w:rsidRPr="00BF49F8">
        <w:t>observacio</w:t>
      </w:r>
      <w:r w:rsidR="00BF49F8" w:rsidRPr="00BF49F8">
        <w:t>nes de la cuales solamente 8737</w:t>
      </w:r>
      <w:r w:rsidRPr="00BF49F8">
        <w:t xml:space="preserve"> resultaron </w:t>
      </w:r>
      <w:r w:rsidR="00A555D7" w:rsidRPr="00BF49F8">
        <w:t xml:space="preserve">sospechosas, </w:t>
      </w:r>
      <w:r w:rsidRPr="00BF49F8">
        <w:t xml:space="preserve">valor de EBGM mayor a 5, </w:t>
      </w:r>
      <w:r w:rsidR="00F31D6C" w:rsidRPr="00BF49F8">
        <w:t>correspondiente a</w:t>
      </w:r>
      <w:r w:rsidRPr="00BF49F8">
        <w:t xml:space="preserve"> 0,02%.</w:t>
      </w:r>
      <w:r w:rsidR="00BF49F8">
        <w:t xml:space="preserve"> Hay 903 principios activos y 2492 eventos.</w:t>
      </w:r>
    </w:p>
    <w:p w:rsidR="00BA176E" w:rsidRPr="00D47052" w:rsidRDefault="001B5218" w:rsidP="001630AE">
      <w:r>
        <w:t>La razón por la cual la métrica de PRR debe ser reducida</w:t>
      </w:r>
      <w:r w:rsidR="00BA176E">
        <w:t xml:space="preserve"> mediante</w:t>
      </w:r>
      <w:r w:rsidR="00EF74D2">
        <w:t xml:space="preserve"> e</w:t>
      </w:r>
      <w:r w:rsidR="00BA176E">
        <w:t>l método de EBGM</w:t>
      </w:r>
      <w:r w:rsidR="00BA176E" w:rsidRPr="00D47052">
        <w:t xml:space="preserve"> se hace evidente en la </w:t>
      </w:r>
      <w:r w:rsidR="00EF74D2">
        <w:fldChar w:fldCharType="begin"/>
      </w:r>
      <w:r w:rsidR="00EF74D2">
        <w:instrText xml:space="preserve"> REF _Ref48134825 \h </w:instrText>
      </w:r>
      <w:r w:rsidR="00EF74D2">
        <w:fldChar w:fldCharType="separate"/>
      </w:r>
      <w:r w:rsidR="00EF74D2">
        <w:t xml:space="preserve">Figura </w:t>
      </w:r>
      <w:r w:rsidR="00EF74D2">
        <w:rPr>
          <w:noProof/>
        </w:rPr>
        <w:t>1</w:t>
      </w:r>
      <w:r w:rsidR="00EF74D2">
        <w:fldChar w:fldCharType="end"/>
      </w:r>
      <w:r>
        <w:t xml:space="preserve"> donde se </w:t>
      </w:r>
      <w:r w:rsidR="00EF74D2">
        <w:t>representa</w:t>
      </w:r>
      <w:r w:rsidR="00BA176E" w:rsidRPr="00D47052">
        <w:t xml:space="preserve"> la tasa de </w:t>
      </w:r>
      <w:r w:rsidR="004F03B8">
        <w:t>reporte P</w:t>
      </w:r>
      <w:r w:rsidR="00BA176E" w:rsidRPr="00D47052">
        <w:t xml:space="preserve">RR frente al número de casos reportados para la combinación </w:t>
      </w:r>
      <w:r w:rsidR="004F03B8">
        <w:t>droga</w:t>
      </w:r>
      <w:r w:rsidR="00BA176E" w:rsidRPr="00D47052">
        <w:t>-evento</w:t>
      </w:r>
      <w:r>
        <w:t xml:space="preserve"> </w:t>
      </w:r>
      <w:r w:rsidR="00BA176E" w:rsidRPr="00D47052">
        <w:t xml:space="preserve">. </w:t>
      </w:r>
    </w:p>
    <w:p w:rsidR="00EF74D2" w:rsidRDefault="004F03B8" w:rsidP="00EF74D2">
      <w:pPr>
        <w:keepNext/>
      </w:pPr>
      <w:r>
        <w:rPr>
          <w:noProof/>
          <w:lang w:val="en-US"/>
        </w:rPr>
        <w:drawing>
          <wp:inline distT="0" distB="0" distL="0" distR="0">
            <wp:extent cx="5943552" cy="395770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nza_log_prr_100.png"/>
                    <pic:cNvPicPr/>
                  </pic:nvPicPr>
                  <pic:blipFill>
                    <a:blip r:embed="rId8">
                      <a:extLst>
                        <a:ext uri="{28A0092B-C50C-407E-A947-70E740481C1C}">
                          <a14:useLocalDpi xmlns:a14="http://schemas.microsoft.com/office/drawing/2010/main" val="0"/>
                        </a:ext>
                      </a:extLst>
                    </a:blip>
                    <a:stretch>
                      <a:fillRect/>
                    </a:stretch>
                  </pic:blipFill>
                  <pic:spPr>
                    <a:xfrm>
                      <a:off x="0" y="0"/>
                      <a:ext cx="5943552" cy="3957706"/>
                    </a:xfrm>
                    <a:prstGeom prst="rect">
                      <a:avLst/>
                    </a:prstGeom>
                  </pic:spPr>
                </pic:pic>
              </a:graphicData>
            </a:graphic>
          </wp:inline>
        </w:drawing>
      </w:r>
    </w:p>
    <w:p w:rsidR="00EF74D2" w:rsidRDefault="00EF74D2" w:rsidP="00EF74D2">
      <w:pPr>
        <w:pStyle w:val="Caption"/>
      </w:pPr>
      <w:bookmarkStart w:id="0" w:name="_Ref48134825"/>
      <w:r>
        <w:t xml:space="preserve">Figura </w:t>
      </w:r>
      <w:r>
        <w:fldChar w:fldCharType="begin"/>
      </w:r>
      <w:r>
        <w:instrText xml:space="preserve"> SEQ Figura \* ARABIC </w:instrText>
      </w:r>
      <w:r>
        <w:fldChar w:fldCharType="separate"/>
      </w:r>
      <w:r w:rsidR="00693A5B">
        <w:rPr>
          <w:noProof/>
        </w:rPr>
        <w:t>1</w:t>
      </w:r>
      <w:r>
        <w:fldChar w:fldCharType="end"/>
      </w:r>
      <w:bookmarkEnd w:id="0"/>
    </w:p>
    <w:p w:rsidR="00EA3C49" w:rsidRPr="00CD0EA8" w:rsidRDefault="00BA176E" w:rsidP="001630AE">
      <w:r w:rsidRPr="00CD0EA8">
        <w:t xml:space="preserve">Los círculos celestes representan combinaciones de droga-evento con puntajes de EBGM superiores a 5, señal que son casos sospechosos. </w:t>
      </w:r>
    </w:p>
    <w:p w:rsidR="00BA176E" w:rsidRPr="0047341C" w:rsidRDefault="00BA176E" w:rsidP="001630AE">
      <w:r w:rsidRPr="0047341C">
        <w:lastRenderedPageBreak/>
        <w:t>El primer caso con EBGM mayor a 5 se corresponde cuando l</w:t>
      </w:r>
      <w:r w:rsidR="00A26382" w:rsidRPr="0047341C">
        <w:t>a cantidad de casos es igual a 4</w:t>
      </w:r>
      <w:r w:rsidRPr="0047341C">
        <w:t xml:space="preserve"> y el log(</w:t>
      </w:r>
      <w:r w:rsidR="004F03B8" w:rsidRPr="0047341C">
        <w:t>P</w:t>
      </w:r>
      <w:r w:rsidR="0047341C" w:rsidRPr="0047341C">
        <w:t>RR) es 2,91</w:t>
      </w:r>
      <w:r w:rsidRPr="0047341C">
        <w:t xml:space="preserve"> (</w:t>
      </w:r>
      <w:r w:rsidR="004F03B8" w:rsidRPr="0047341C">
        <w:t>P</w:t>
      </w:r>
      <w:r w:rsidR="00584164" w:rsidRPr="0047341C">
        <w:t xml:space="preserve">RR = </w:t>
      </w:r>
      <w:r w:rsidR="0047341C" w:rsidRPr="0047341C">
        <w:t>818</w:t>
      </w:r>
      <w:r w:rsidR="00EA3C49" w:rsidRPr="0047341C">
        <w:t>)</w:t>
      </w:r>
      <w:r w:rsidR="00CD0EA8" w:rsidRPr="0047341C">
        <w:t xml:space="preserve">, </w:t>
      </w:r>
      <w:r w:rsidR="00156339" w:rsidRPr="0047341C">
        <w:t>c</w:t>
      </w:r>
      <w:r w:rsidRPr="0047341C">
        <w:t>uando la cantidad de casos es 10, el primer caso sospechoso tiene log(</w:t>
      </w:r>
      <w:r w:rsidR="004F03B8" w:rsidRPr="0047341C">
        <w:t>P</w:t>
      </w:r>
      <w:r w:rsidR="0047341C" w:rsidRPr="0047341C">
        <w:t>RR) igual a 1,68</w:t>
      </w:r>
      <w:r w:rsidRPr="0047341C">
        <w:t xml:space="preserve"> </w:t>
      </w:r>
      <w:r w:rsidR="0047341C" w:rsidRPr="0047341C">
        <w:t>(PRR = 20,97</w:t>
      </w:r>
      <w:r w:rsidR="00584164" w:rsidRPr="0047341C">
        <w:t>)</w:t>
      </w:r>
      <w:r w:rsidR="00CD0EA8" w:rsidRPr="0047341C">
        <w:t xml:space="preserve"> y al aumentar a </w:t>
      </w:r>
      <w:r w:rsidR="00F31D6C" w:rsidRPr="0047341C">
        <w:t>10</w:t>
      </w:r>
      <w:r w:rsidR="00CD0EA8" w:rsidRPr="0047341C">
        <w:t>0 el número de casos el primer caso sospechoso tiene log(PRR) igual a 0,</w:t>
      </w:r>
      <w:r w:rsidR="0047341C" w:rsidRPr="0047341C">
        <w:t>88</w:t>
      </w:r>
      <w:r w:rsidR="00CD0EA8" w:rsidRPr="0047341C">
        <w:t xml:space="preserve"> (PRR = </w:t>
      </w:r>
      <w:r w:rsidR="0047341C" w:rsidRPr="0047341C">
        <w:t>7,76</w:t>
      </w:r>
      <w:r w:rsidR="00CD0EA8" w:rsidRPr="0047341C">
        <w:t xml:space="preserve">). Es decir, a mayor cantidad de casos, se requiere un PRR menor para considerar un caso sospechoso. </w:t>
      </w:r>
    </w:p>
    <w:p w:rsidR="00BA176E" w:rsidRPr="00D47052" w:rsidRDefault="00CD0EA8" w:rsidP="001630AE">
      <w:bookmarkStart w:id="1" w:name="_GoBack"/>
      <w:r w:rsidRPr="00CF22AC">
        <w:t>Por otro lado, e</w:t>
      </w:r>
      <w:r w:rsidR="00BA176E" w:rsidRPr="00CF22AC">
        <w:t>l encogimiento de la métrica EBGM</w:t>
      </w:r>
      <w:r w:rsidR="00F31D6C" w:rsidRPr="00CF22AC">
        <w:t xml:space="preserve"> al tener valores de números de casos (N) pequeños </w:t>
      </w:r>
      <w:r w:rsidR="00BA176E" w:rsidRPr="00CF22AC">
        <w:t>el número de caso</w:t>
      </w:r>
      <w:r w:rsidRPr="00CF22AC">
        <w:t xml:space="preserve">s se </w:t>
      </w:r>
      <w:r w:rsidR="0047341C" w:rsidRPr="00CF22AC">
        <w:t>puede visualizar</w:t>
      </w:r>
      <w:r w:rsidR="00F31D6C" w:rsidRPr="00CF22AC">
        <w:t xml:space="preserve"> en </w:t>
      </w:r>
      <w:r w:rsidRPr="00CF22AC">
        <w:t xml:space="preserve">la </w:t>
      </w:r>
      <w:r w:rsidRPr="00CF22AC">
        <w:fldChar w:fldCharType="begin"/>
      </w:r>
      <w:r w:rsidRPr="00CF22AC">
        <w:instrText xml:space="preserve"> REF _Ref48139238 \h </w:instrText>
      </w:r>
      <w:r w:rsidR="00F31D6C" w:rsidRPr="00CF22AC">
        <w:instrText xml:space="preserve"> \* MERGEFORMAT </w:instrText>
      </w:r>
      <w:r w:rsidRPr="00CF22AC">
        <w:fldChar w:fldCharType="separate"/>
      </w:r>
      <w:r w:rsidRPr="00CF22AC">
        <w:t>Figura 2</w:t>
      </w:r>
      <w:r w:rsidRPr="00CF22AC">
        <w:fldChar w:fldCharType="end"/>
      </w:r>
      <w:r w:rsidR="00BA176E" w:rsidRPr="00CF22AC">
        <w:t xml:space="preserve">.  </w:t>
      </w:r>
      <w:r w:rsidR="00A42C4E" w:rsidRPr="00CF22AC">
        <w:t xml:space="preserve">En el caso de </w:t>
      </w:r>
      <w:r w:rsidR="00CF22AC" w:rsidRPr="00CF22AC">
        <w:t>PHENYTOIN SODIUM EXTENDED - PERFORMANCE FEAR</w:t>
      </w:r>
      <w:r w:rsidR="00A42C4E" w:rsidRPr="00CF22AC">
        <w:t xml:space="preserve"> con N = 1, el valor del</w:t>
      </w:r>
      <w:r w:rsidR="00CF22AC" w:rsidRPr="00CF22AC">
        <w:t xml:space="preserve"> </w:t>
      </w:r>
      <w:r w:rsidR="004F03B8" w:rsidRPr="00CF22AC">
        <w:t>P</w:t>
      </w:r>
      <w:r w:rsidR="00CF22AC" w:rsidRPr="00CF22AC">
        <w:t>RR</w:t>
      </w:r>
      <w:r w:rsidR="00A42C4E" w:rsidRPr="00CF22AC">
        <w:t xml:space="preserve"> </w:t>
      </w:r>
      <w:r w:rsidR="00CF22AC" w:rsidRPr="00CF22AC">
        <w:t>es 460.317 (</w:t>
      </w:r>
      <w:r w:rsidR="00CF22AC" w:rsidRPr="00CF22AC">
        <w:t>log(</w:t>
      </w:r>
      <w:r w:rsidR="00CF22AC" w:rsidRPr="00CF22AC">
        <w:t>PRR) =</w:t>
      </w:r>
      <w:r w:rsidR="00CF22AC" w:rsidRPr="00CF22AC">
        <w:t xml:space="preserve"> 5,66</w:t>
      </w:r>
      <w:r w:rsidR="00CF22AC" w:rsidRPr="00CF22AC">
        <w:t>)</w:t>
      </w:r>
      <w:r w:rsidR="00A42C4E" w:rsidRPr="00CF22AC">
        <w:t xml:space="preserve"> </w:t>
      </w:r>
      <w:r w:rsidR="00BA176E" w:rsidRPr="00CF22AC">
        <w:t xml:space="preserve">pero el valor de EGBM es 0,65. Es decir, si utilizáramos la métrica </w:t>
      </w:r>
      <w:r w:rsidR="004F03B8" w:rsidRPr="00CF22AC">
        <w:t>P</w:t>
      </w:r>
      <w:r w:rsidR="00BA176E" w:rsidRPr="00CF22AC">
        <w:t xml:space="preserve">RR </w:t>
      </w:r>
      <w:r w:rsidR="00A42C4E" w:rsidRPr="00CF22AC">
        <w:t xml:space="preserve">sería </w:t>
      </w:r>
      <w:r w:rsidR="00BA176E" w:rsidRPr="00CF22AC">
        <w:t>significativo el evento, pero al usar EGBM no se toma como sospechoso.</w:t>
      </w:r>
      <w:r w:rsidR="00A42C4E" w:rsidRPr="00CF22AC">
        <w:t xml:space="preserve">  A mayores valores de N, esta diferencia no está tan marcada, por ejemplo, tomando la combinación </w:t>
      </w:r>
      <w:r w:rsidR="00CF22AC" w:rsidRPr="00CF22AC">
        <w:t>RIVAROXABAN - VOMITING</w:t>
      </w:r>
      <w:r w:rsidR="00A42C4E" w:rsidRPr="00CF22AC">
        <w:t xml:space="preserve"> </w:t>
      </w:r>
      <w:r w:rsidR="00CF22AC" w:rsidRPr="00CF22AC">
        <w:t>con N = 20, el PRR es 0,18 y el EGBM es 0,19 y en un caso más extremo donde N = 200 como para el caso de DALFAMPRIDINE - MULTIPLE SCLEROSIS los valores de PRR y EGBM son 28,45 y 23,89 respectivamente y para ambas métricas serían casos sospechosos.</w:t>
      </w:r>
    </w:p>
    <w:bookmarkEnd w:id="1"/>
    <w:p w:rsidR="00CD0EA8" w:rsidRDefault="004F03B8" w:rsidP="00CD0EA8">
      <w:pPr>
        <w:keepNext/>
      </w:pPr>
      <w:r>
        <w:rPr>
          <w:noProof/>
          <w:lang w:val="en-US"/>
        </w:rPr>
        <w:drawing>
          <wp:inline distT="0" distB="0" distL="0" distR="0">
            <wp:extent cx="5943552" cy="3726957"/>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ogimiento_EBGM_PRR.png"/>
                    <pic:cNvPicPr/>
                  </pic:nvPicPr>
                  <pic:blipFill>
                    <a:blip r:embed="rId9">
                      <a:extLst>
                        <a:ext uri="{28A0092B-C50C-407E-A947-70E740481C1C}">
                          <a14:useLocalDpi xmlns:a14="http://schemas.microsoft.com/office/drawing/2010/main" val="0"/>
                        </a:ext>
                      </a:extLst>
                    </a:blip>
                    <a:stretch>
                      <a:fillRect/>
                    </a:stretch>
                  </pic:blipFill>
                  <pic:spPr>
                    <a:xfrm>
                      <a:off x="0" y="0"/>
                      <a:ext cx="5943552" cy="3726957"/>
                    </a:xfrm>
                    <a:prstGeom prst="rect">
                      <a:avLst/>
                    </a:prstGeom>
                  </pic:spPr>
                </pic:pic>
              </a:graphicData>
            </a:graphic>
          </wp:inline>
        </w:drawing>
      </w:r>
    </w:p>
    <w:p w:rsidR="00626E01" w:rsidRPr="00CD0EA8" w:rsidRDefault="00CD0EA8" w:rsidP="00CD0EA8">
      <w:pPr>
        <w:pStyle w:val="Caption"/>
      </w:pPr>
      <w:bookmarkStart w:id="2" w:name="_Ref48139238"/>
      <w:r w:rsidRPr="00CD0EA8">
        <w:t xml:space="preserve">Figura </w:t>
      </w:r>
      <w:r w:rsidRPr="00CD0EA8">
        <w:fldChar w:fldCharType="begin"/>
      </w:r>
      <w:r w:rsidRPr="00CD0EA8">
        <w:instrText xml:space="preserve"> SEQ Figura \* ARABIC </w:instrText>
      </w:r>
      <w:r w:rsidRPr="00CD0EA8">
        <w:fldChar w:fldCharType="separate"/>
      </w:r>
      <w:r w:rsidR="00693A5B">
        <w:rPr>
          <w:noProof/>
        </w:rPr>
        <w:t>2</w:t>
      </w:r>
      <w:r w:rsidRPr="00CD0EA8">
        <w:fldChar w:fldCharType="end"/>
      </w:r>
      <w:bookmarkEnd w:id="2"/>
    </w:p>
    <w:p w:rsidR="00E86811" w:rsidRPr="00DA4F86" w:rsidRDefault="00DA4F86" w:rsidP="001630AE">
      <w:r w:rsidRPr="0062751B">
        <w:t xml:space="preserve">Dentro de las 20 combinaciones droga-evento con mayores valores de EBGM se encuentra 3 veces </w:t>
      </w:r>
      <w:r w:rsidR="004B7B7E" w:rsidRPr="0062751B">
        <w:t>el componente activo</w:t>
      </w:r>
      <w:r w:rsidRPr="0062751B">
        <w:t xml:space="preserve"> </w:t>
      </w:r>
      <w:proofErr w:type="spellStart"/>
      <w:r w:rsidRPr="0062751B">
        <w:t>Misoprostol</w:t>
      </w:r>
      <w:proofErr w:type="spellEnd"/>
      <w:r w:rsidRPr="0062751B">
        <w:t xml:space="preserve"> y</w:t>
      </w:r>
      <w:r w:rsidR="004B7B7E" w:rsidRPr="0062751B">
        <w:t xml:space="preserve"> ningún evento se repite</w:t>
      </w:r>
      <w:r w:rsidRPr="0062751B">
        <w:t xml:space="preserve">. </w:t>
      </w:r>
      <w:proofErr w:type="spellStart"/>
      <w:r w:rsidR="004B7B7E" w:rsidRPr="0062751B">
        <w:rPr>
          <w:i/>
          <w:iCs/>
        </w:rPr>
        <w:t>Parathyroid</w:t>
      </w:r>
      <w:proofErr w:type="spellEnd"/>
      <w:r w:rsidR="004B7B7E" w:rsidRPr="0062751B">
        <w:rPr>
          <w:i/>
          <w:iCs/>
        </w:rPr>
        <w:t xml:space="preserve"> hormone</w:t>
      </w:r>
      <w:r w:rsidR="004B7B7E" w:rsidRPr="0062751B">
        <w:t xml:space="preserve"> </w:t>
      </w:r>
      <w:r w:rsidRPr="0062751B">
        <w:t xml:space="preserve">es la droga con mayor valor de EBGM y resulta ser un producto que sufrió un </w:t>
      </w:r>
      <w:proofErr w:type="spellStart"/>
      <w:r w:rsidRPr="0062751B">
        <w:rPr>
          <w:i/>
          <w:iCs/>
        </w:rPr>
        <w:t>recall</w:t>
      </w:r>
      <w:proofErr w:type="spellEnd"/>
      <w:r w:rsidRPr="0062751B">
        <w:t xml:space="preserve">, es decir, que se tuvo que retirar del mercado. Es posible que la métrica sea elevada porque los eventos para esa droga se encuentran enmascarados por la descripción del evento, </w:t>
      </w:r>
      <w:r w:rsidR="004B7B7E" w:rsidRPr="0062751B">
        <w:t>en total la droga aparece en 266 combinaciones y 190</w:t>
      </w:r>
      <w:r w:rsidRPr="0062751B">
        <w:t xml:space="preserve"> veces es con el evento </w:t>
      </w:r>
      <w:r w:rsidRPr="0062751B">
        <w:rPr>
          <w:i/>
          <w:iCs/>
        </w:rPr>
        <w:t>“</w:t>
      </w:r>
      <w:proofErr w:type="spellStart"/>
      <w:r w:rsidRPr="0062751B">
        <w:rPr>
          <w:i/>
          <w:iCs/>
        </w:rPr>
        <w:t>recalled</w:t>
      </w:r>
      <w:proofErr w:type="spellEnd"/>
      <w:r w:rsidRPr="0062751B">
        <w:rPr>
          <w:i/>
          <w:iCs/>
        </w:rPr>
        <w:t xml:space="preserve"> </w:t>
      </w:r>
      <w:proofErr w:type="spellStart"/>
      <w:r w:rsidRPr="0062751B">
        <w:rPr>
          <w:i/>
          <w:iCs/>
        </w:rPr>
        <w:t>product</w:t>
      </w:r>
      <w:proofErr w:type="spellEnd"/>
      <w:r w:rsidRPr="0062751B">
        <w:rPr>
          <w:i/>
          <w:iCs/>
        </w:rPr>
        <w:t>”.</w:t>
      </w:r>
    </w:p>
    <w:p w:rsidR="00156339" w:rsidRDefault="00DA4F86" w:rsidP="001630AE">
      <w:r>
        <w:t xml:space="preserve">En la </w:t>
      </w:r>
      <w:r>
        <w:fldChar w:fldCharType="begin"/>
      </w:r>
      <w:r>
        <w:instrText xml:space="preserve"> REF _Ref48237259 \h </w:instrText>
      </w:r>
      <w:r>
        <w:fldChar w:fldCharType="separate"/>
      </w:r>
      <w:r>
        <w:t xml:space="preserve">Figura </w:t>
      </w:r>
      <w:r>
        <w:rPr>
          <w:noProof/>
        </w:rPr>
        <w:t>3</w:t>
      </w:r>
      <w:r>
        <w:fldChar w:fldCharType="end"/>
      </w:r>
      <w:r>
        <w:t xml:space="preserve"> se ilustran las 20 combinaciones con los valores de EBGM, los </w:t>
      </w:r>
      <w:r w:rsidR="00801167">
        <w:t>intervalos</w:t>
      </w:r>
      <w:r>
        <w:t xml:space="preserve"> de confianza y la cantidad de apariciones.</w:t>
      </w:r>
    </w:p>
    <w:p w:rsidR="00DA4F86" w:rsidRDefault="00D74808" w:rsidP="00DA4F86">
      <w:pPr>
        <w:keepNext/>
      </w:pPr>
      <w:r>
        <w:rPr>
          <w:noProof/>
          <w:lang w:val="en-US"/>
        </w:rPr>
        <w:lastRenderedPageBreak/>
        <w:drawing>
          <wp:inline distT="0" distB="0" distL="0" distR="0">
            <wp:extent cx="6604614" cy="280696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20_2.png"/>
                    <pic:cNvPicPr/>
                  </pic:nvPicPr>
                  <pic:blipFill>
                    <a:blip r:embed="rId10">
                      <a:extLst>
                        <a:ext uri="{28A0092B-C50C-407E-A947-70E740481C1C}">
                          <a14:useLocalDpi xmlns:a14="http://schemas.microsoft.com/office/drawing/2010/main" val="0"/>
                        </a:ext>
                      </a:extLst>
                    </a:blip>
                    <a:stretch>
                      <a:fillRect/>
                    </a:stretch>
                  </pic:blipFill>
                  <pic:spPr>
                    <a:xfrm>
                      <a:off x="0" y="0"/>
                      <a:ext cx="6604614" cy="2806961"/>
                    </a:xfrm>
                    <a:prstGeom prst="rect">
                      <a:avLst/>
                    </a:prstGeom>
                  </pic:spPr>
                </pic:pic>
              </a:graphicData>
            </a:graphic>
          </wp:inline>
        </w:drawing>
      </w:r>
    </w:p>
    <w:p w:rsidR="00415006" w:rsidRPr="0062751B" w:rsidRDefault="00DA4F86" w:rsidP="0062751B">
      <w:pPr>
        <w:pStyle w:val="Caption"/>
      </w:pPr>
      <w:bookmarkStart w:id="3" w:name="_Ref48237259"/>
      <w:r w:rsidRPr="0062751B">
        <w:t xml:space="preserve">Figura </w:t>
      </w:r>
      <w:r w:rsidRPr="0062751B">
        <w:fldChar w:fldCharType="begin"/>
      </w:r>
      <w:r w:rsidRPr="0062751B">
        <w:instrText xml:space="preserve"> SEQ Figura \* ARABIC </w:instrText>
      </w:r>
      <w:r w:rsidRPr="0062751B">
        <w:fldChar w:fldCharType="separate"/>
      </w:r>
      <w:r w:rsidR="00693A5B">
        <w:rPr>
          <w:noProof/>
        </w:rPr>
        <w:t>3</w:t>
      </w:r>
      <w:r w:rsidRPr="0062751B">
        <w:fldChar w:fldCharType="end"/>
      </w:r>
      <w:bookmarkEnd w:id="3"/>
    </w:p>
    <w:p w:rsidR="00693A5B" w:rsidRDefault="00693A5B" w:rsidP="002C5A58">
      <w:r>
        <w:t xml:space="preserve">Al analizar los eventos adversos con mayor frecuencia, la muerte se encuentra primero con la mayor cantidad de drogas asociadas. En la </w:t>
      </w:r>
      <w:r>
        <w:fldChar w:fldCharType="begin"/>
      </w:r>
      <w:r>
        <w:instrText xml:space="preserve"> REF _Ref48247276 \h </w:instrText>
      </w:r>
      <w:r>
        <w:fldChar w:fldCharType="separate"/>
      </w:r>
      <w:r w:rsidRPr="00693A5B">
        <w:t>Figura 4</w:t>
      </w:r>
      <w:r>
        <w:fldChar w:fldCharType="end"/>
      </w:r>
      <w:r>
        <w:t xml:space="preserve"> se encuentran los demás 9 eventos adversos que completan el top 10, allí se puede encontrar el uso fuera de indicación (</w:t>
      </w:r>
      <w:r w:rsidRPr="00693A5B">
        <w:rPr>
          <w:i/>
          <w:iCs/>
        </w:rPr>
        <w:t xml:space="preserve">off </w:t>
      </w:r>
      <w:proofErr w:type="spellStart"/>
      <w:r w:rsidRPr="00693A5B">
        <w:rPr>
          <w:i/>
          <w:iCs/>
        </w:rPr>
        <w:t>label</w:t>
      </w:r>
      <w:proofErr w:type="spellEnd"/>
      <w:r w:rsidRPr="00693A5B">
        <w:rPr>
          <w:i/>
          <w:iCs/>
        </w:rPr>
        <w:t xml:space="preserve"> use</w:t>
      </w:r>
      <w:r>
        <w:t xml:space="preserve"> y </w:t>
      </w:r>
      <w:proofErr w:type="spellStart"/>
      <w:r w:rsidRPr="00693A5B">
        <w:rPr>
          <w:i/>
          <w:iCs/>
        </w:rPr>
        <w:t>product</w:t>
      </w:r>
      <w:proofErr w:type="spellEnd"/>
      <w:r w:rsidRPr="00693A5B">
        <w:rPr>
          <w:i/>
          <w:iCs/>
        </w:rPr>
        <w:t xml:space="preserve"> use in </w:t>
      </w:r>
      <w:proofErr w:type="spellStart"/>
      <w:r w:rsidRPr="00693A5B">
        <w:rPr>
          <w:i/>
          <w:iCs/>
        </w:rPr>
        <w:t>unapproved</w:t>
      </w:r>
      <w:proofErr w:type="spellEnd"/>
      <w:r w:rsidRPr="00693A5B">
        <w:rPr>
          <w:i/>
          <w:iCs/>
        </w:rPr>
        <w:t xml:space="preserve"> </w:t>
      </w:r>
      <w:proofErr w:type="spellStart"/>
      <w:r w:rsidRPr="00693A5B">
        <w:rPr>
          <w:i/>
          <w:iCs/>
        </w:rPr>
        <w:t>indication</w:t>
      </w:r>
      <w:proofErr w:type="spellEnd"/>
      <w:r>
        <w:t>), suicidio, toxicidad, interacción con otras drogas o diarrea, entre otras.</w:t>
      </w:r>
    </w:p>
    <w:p w:rsidR="00693A5B" w:rsidRDefault="00693A5B" w:rsidP="00693A5B">
      <w:pPr>
        <w:keepNext/>
      </w:pPr>
      <w:r>
        <w:rPr>
          <w:noProof/>
          <w:lang w:val="en-US"/>
        </w:rPr>
        <w:drawing>
          <wp:inline distT="0" distB="0" distL="0" distR="0">
            <wp:extent cx="5943600" cy="2526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 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693A5B" w:rsidRPr="00693A5B" w:rsidRDefault="00693A5B" w:rsidP="00693A5B">
      <w:pPr>
        <w:pStyle w:val="Caption"/>
      </w:pPr>
      <w:bookmarkStart w:id="4" w:name="_Ref48247276"/>
      <w:r w:rsidRPr="00693A5B">
        <w:t xml:space="preserve">Figura </w:t>
      </w:r>
      <w:r w:rsidRPr="00693A5B">
        <w:fldChar w:fldCharType="begin"/>
      </w:r>
      <w:r w:rsidRPr="00693A5B">
        <w:instrText xml:space="preserve"> SEQ Figura \* ARABIC </w:instrText>
      </w:r>
      <w:r w:rsidRPr="00693A5B">
        <w:fldChar w:fldCharType="separate"/>
      </w:r>
      <w:r w:rsidRPr="00693A5B">
        <w:t>4</w:t>
      </w:r>
      <w:r w:rsidRPr="00693A5B">
        <w:fldChar w:fldCharType="end"/>
      </w:r>
      <w:bookmarkEnd w:id="4"/>
    </w:p>
    <w:p w:rsidR="00693A5B" w:rsidRDefault="00693A5B" w:rsidP="002C5A58"/>
    <w:p w:rsidR="002C5A58" w:rsidRDefault="00801167" w:rsidP="002C5A58">
      <w:r>
        <w:t>**AGREGAR TABLA CON LOS PRIMEROS 1000*</w:t>
      </w:r>
    </w:p>
    <w:p w:rsidR="00801167" w:rsidRPr="002C5A58" w:rsidRDefault="00801167" w:rsidP="002C5A58"/>
    <w:sectPr w:rsidR="00801167" w:rsidRPr="002C5A58">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AEA" w:rsidRDefault="00B81AEA" w:rsidP="001630AE">
      <w:r>
        <w:separator/>
      </w:r>
    </w:p>
  </w:endnote>
  <w:endnote w:type="continuationSeparator" w:id="0">
    <w:p w:rsidR="00B81AEA" w:rsidRDefault="00B81AEA" w:rsidP="00163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885529"/>
      <w:docPartObj>
        <w:docPartGallery w:val="Page Numbers (Bottom of Page)"/>
        <w:docPartUnique/>
      </w:docPartObj>
    </w:sdtPr>
    <w:sdtEndPr>
      <w:rPr>
        <w:noProof/>
      </w:rPr>
    </w:sdtEndPr>
    <w:sdtContent>
      <w:p w:rsidR="00E86811" w:rsidRDefault="00E86811">
        <w:pPr>
          <w:pStyle w:val="Footer"/>
          <w:jc w:val="right"/>
        </w:pPr>
        <w:r>
          <w:fldChar w:fldCharType="begin"/>
        </w:r>
        <w:r>
          <w:instrText xml:space="preserve"> PAGE   \* MERGEFORMAT </w:instrText>
        </w:r>
        <w:r>
          <w:fldChar w:fldCharType="separate"/>
        </w:r>
        <w:r w:rsidR="00CF22AC">
          <w:rPr>
            <w:noProof/>
          </w:rPr>
          <w:t>6</w:t>
        </w:r>
        <w:r>
          <w:rPr>
            <w:noProof/>
          </w:rPr>
          <w:fldChar w:fldCharType="end"/>
        </w:r>
      </w:p>
    </w:sdtContent>
  </w:sdt>
  <w:p w:rsidR="00E86811" w:rsidRDefault="00E86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AEA" w:rsidRDefault="00B81AEA" w:rsidP="001630AE">
      <w:r>
        <w:separator/>
      </w:r>
    </w:p>
  </w:footnote>
  <w:footnote w:type="continuationSeparator" w:id="0">
    <w:p w:rsidR="00B81AEA" w:rsidRDefault="00B81AEA" w:rsidP="00163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30727"/>
    <w:multiLevelType w:val="hybridMultilevel"/>
    <w:tmpl w:val="216C6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ED7F60"/>
    <w:multiLevelType w:val="hybridMultilevel"/>
    <w:tmpl w:val="AE1E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B7A77"/>
    <w:multiLevelType w:val="hybridMultilevel"/>
    <w:tmpl w:val="01AC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F5"/>
    <w:rsid w:val="00092399"/>
    <w:rsid w:val="0009633D"/>
    <w:rsid w:val="00096775"/>
    <w:rsid w:val="00096927"/>
    <w:rsid w:val="000B5EF5"/>
    <w:rsid w:val="000D391B"/>
    <w:rsid w:val="000D4848"/>
    <w:rsid w:val="001059FD"/>
    <w:rsid w:val="00134962"/>
    <w:rsid w:val="00156339"/>
    <w:rsid w:val="001630AE"/>
    <w:rsid w:val="00187132"/>
    <w:rsid w:val="001B5218"/>
    <w:rsid w:val="001C2F98"/>
    <w:rsid w:val="001C4BC0"/>
    <w:rsid w:val="001D24A3"/>
    <w:rsid w:val="001E2154"/>
    <w:rsid w:val="00214591"/>
    <w:rsid w:val="0023001D"/>
    <w:rsid w:val="002941FF"/>
    <w:rsid w:val="002C237B"/>
    <w:rsid w:val="002C5A58"/>
    <w:rsid w:val="00300493"/>
    <w:rsid w:val="00336697"/>
    <w:rsid w:val="00346243"/>
    <w:rsid w:val="00397ACA"/>
    <w:rsid w:val="003E0A3A"/>
    <w:rsid w:val="003E6A8D"/>
    <w:rsid w:val="00415006"/>
    <w:rsid w:val="004166E2"/>
    <w:rsid w:val="00417035"/>
    <w:rsid w:val="00420A94"/>
    <w:rsid w:val="00420E17"/>
    <w:rsid w:val="00426315"/>
    <w:rsid w:val="00427179"/>
    <w:rsid w:val="004478FF"/>
    <w:rsid w:val="0046793A"/>
    <w:rsid w:val="0047341C"/>
    <w:rsid w:val="004A17CF"/>
    <w:rsid w:val="004B7B7E"/>
    <w:rsid w:val="004D365C"/>
    <w:rsid w:val="004D3DFA"/>
    <w:rsid w:val="004E14BE"/>
    <w:rsid w:val="004E1748"/>
    <w:rsid w:val="004F03B8"/>
    <w:rsid w:val="00503CD5"/>
    <w:rsid w:val="0053457F"/>
    <w:rsid w:val="005456F1"/>
    <w:rsid w:val="00554008"/>
    <w:rsid w:val="005766C0"/>
    <w:rsid w:val="00584164"/>
    <w:rsid w:val="005B52E1"/>
    <w:rsid w:val="00611C2D"/>
    <w:rsid w:val="00626E01"/>
    <w:rsid w:val="0062751B"/>
    <w:rsid w:val="00627F48"/>
    <w:rsid w:val="00657B1A"/>
    <w:rsid w:val="00693A5B"/>
    <w:rsid w:val="0069453B"/>
    <w:rsid w:val="006B185E"/>
    <w:rsid w:val="006B3486"/>
    <w:rsid w:val="006E10DF"/>
    <w:rsid w:val="006E5ED1"/>
    <w:rsid w:val="006F516F"/>
    <w:rsid w:val="00714B21"/>
    <w:rsid w:val="007452F6"/>
    <w:rsid w:val="00765E8F"/>
    <w:rsid w:val="007A0B55"/>
    <w:rsid w:val="007B0127"/>
    <w:rsid w:val="007C0170"/>
    <w:rsid w:val="007C17FD"/>
    <w:rsid w:val="007C4F5E"/>
    <w:rsid w:val="00801167"/>
    <w:rsid w:val="00857130"/>
    <w:rsid w:val="00862BB0"/>
    <w:rsid w:val="00884A10"/>
    <w:rsid w:val="00886EE5"/>
    <w:rsid w:val="008A1724"/>
    <w:rsid w:val="008F267E"/>
    <w:rsid w:val="009128D1"/>
    <w:rsid w:val="00961350"/>
    <w:rsid w:val="0096673F"/>
    <w:rsid w:val="009950FF"/>
    <w:rsid w:val="009D2117"/>
    <w:rsid w:val="009D2D6F"/>
    <w:rsid w:val="00A26382"/>
    <w:rsid w:val="00A40845"/>
    <w:rsid w:val="00A42C4E"/>
    <w:rsid w:val="00A555D7"/>
    <w:rsid w:val="00A7217D"/>
    <w:rsid w:val="00AD4DCD"/>
    <w:rsid w:val="00B344CB"/>
    <w:rsid w:val="00B43AF5"/>
    <w:rsid w:val="00B648EF"/>
    <w:rsid w:val="00B81AEA"/>
    <w:rsid w:val="00BA176E"/>
    <w:rsid w:val="00BB2B4B"/>
    <w:rsid w:val="00BF49F8"/>
    <w:rsid w:val="00C06423"/>
    <w:rsid w:val="00C15CB1"/>
    <w:rsid w:val="00C342B5"/>
    <w:rsid w:val="00C5362F"/>
    <w:rsid w:val="00C80EFA"/>
    <w:rsid w:val="00C838E9"/>
    <w:rsid w:val="00C91A74"/>
    <w:rsid w:val="00C931D0"/>
    <w:rsid w:val="00CA3BF4"/>
    <w:rsid w:val="00CC1536"/>
    <w:rsid w:val="00CD0EA8"/>
    <w:rsid w:val="00CD5963"/>
    <w:rsid w:val="00CF22AC"/>
    <w:rsid w:val="00D120CA"/>
    <w:rsid w:val="00D31BED"/>
    <w:rsid w:val="00D41FF2"/>
    <w:rsid w:val="00D47052"/>
    <w:rsid w:val="00D500B8"/>
    <w:rsid w:val="00D74808"/>
    <w:rsid w:val="00D752F1"/>
    <w:rsid w:val="00D80FE6"/>
    <w:rsid w:val="00D90A99"/>
    <w:rsid w:val="00DA4F86"/>
    <w:rsid w:val="00DB082C"/>
    <w:rsid w:val="00DE3CB3"/>
    <w:rsid w:val="00E06790"/>
    <w:rsid w:val="00E42237"/>
    <w:rsid w:val="00E630E1"/>
    <w:rsid w:val="00E75838"/>
    <w:rsid w:val="00E83A6E"/>
    <w:rsid w:val="00E86811"/>
    <w:rsid w:val="00EA3C49"/>
    <w:rsid w:val="00EB3270"/>
    <w:rsid w:val="00EB4ED5"/>
    <w:rsid w:val="00ED1760"/>
    <w:rsid w:val="00ED3417"/>
    <w:rsid w:val="00EE5BFF"/>
    <w:rsid w:val="00EF74D2"/>
    <w:rsid w:val="00F261E9"/>
    <w:rsid w:val="00F31D6C"/>
    <w:rsid w:val="00F9218B"/>
    <w:rsid w:val="00FA57E3"/>
    <w:rsid w:val="00FB4DC7"/>
    <w:rsid w:val="00FD2CFD"/>
    <w:rsid w:val="00FD6F23"/>
    <w:rsid w:val="00FF0C3B"/>
    <w:rsid w:val="00FF13F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0FBB"/>
  <w15:chartTrackingRefBased/>
  <w15:docId w15:val="{0DE5040F-E6F2-4648-AEC1-262DA8D6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F98"/>
    <w:pPr>
      <w:jc w:val="both"/>
    </w:pPr>
    <w:rPr>
      <w:rFonts w:asciiTheme="majorHAnsi" w:eastAsia="Times New Roman" w:hAnsiTheme="majorHAnsi" w:cstheme="majorHAnsi"/>
      <w:color w:val="000000"/>
      <w:sz w:val="20"/>
      <w:szCs w:val="22"/>
      <w:lang w:val="es-AR"/>
    </w:rPr>
  </w:style>
  <w:style w:type="paragraph" w:styleId="Heading1">
    <w:name w:val="heading 1"/>
    <w:basedOn w:val="Normal"/>
    <w:next w:val="Normal"/>
    <w:link w:val="Heading1Char"/>
    <w:uiPriority w:val="9"/>
    <w:qFormat/>
    <w:rsid w:val="004166E2"/>
    <w:pPr>
      <w:keepNext/>
      <w:keepLines/>
      <w:spacing w:before="240" w:after="0"/>
      <w:outlineLvl w:val="0"/>
    </w:pPr>
    <w:rPr>
      <w:rFonts w:eastAsiaTheme="majorEastAsia"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4A17CF"/>
    <w:pPr>
      <w:keepNext/>
      <w:keepLines/>
      <w:spacing w:before="40" w:after="0"/>
      <w:outlineLvl w:val="1"/>
    </w:pPr>
    <w:rPr>
      <w:rFonts w:eastAsiaTheme="majorEastAsia"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134962"/>
    <w:pPr>
      <w:keepNext/>
      <w:keepLines/>
      <w:spacing w:before="40" w:after="0"/>
      <w:outlineLvl w:val="2"/>
    </w:pPr>
    <w:rPr>
      <w:rFonts w:eastAsiaTheme="majorEastAsia" w:cstheme="majorBidi"/>
      <w:color w:val="1F4D78" w:themeColor="accent1" w:themeShade="7F"/>
      <w:sz w:val="24"/>
      <w:szCs w:val="30"/>
    </w:rPr>
  </w:style>
  <w:style w:type="paragraph" w:styleId="Heading4">
    <w:name w:val="heading 4"/>
    <w:basedOn w:val="Normal"/>
    <w:next w:val="Normal"/>
    <w:link w:val="Heading4Char"/>
    <w:uiPriority w:val="9"/>
    <w:unhideWhenUsed/>
    <w:qFormat/>
    <w:rsid w:val="0023001D"/>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E2"/>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4166E2"/>
    <w:pPr>
      <w:outlineLvl w:val="9"/>
    </w:pPr>
    <w:rPr>
      <w:szCs w:val="32"/>
      <w:lang w:eastAsia="en-US" w:bidi="ar-SA"/>
    </w:rPr>
  </w:style>
  <w:style w:type="paragraph" w:styleId="FootnoteText">
    <w:name w:val="footnote text"/>
    <w:basedOn w:val="Normal"/>
    <w:link w:val="FootnoteTextChar"/>
    <w:uiPriority w:val="99"/>
    <w:semiHidden/>
    <w:unhideWhenUsed/>
    <w:rsid w:val="002C237B"/>
    <w:pPr>
      <w:spacing w:after="0" w:line="240" w:lineRule="auto"/>
    </w:pPr>
    <w:rPr>
      <w:szCs w:val="25"/>
    </w:rPr>
  </w:style>
  <w:style w:type="character" w:customStyle="1" w:styleId="FootnoteTextChar">
    <w:name w:val="Footnote Text Char"/>
    <w:basedOn w:val="DefaultParagraphFont"/>
    <w:link w:val="FootnoteText"/>
    <w:uiPriority w:val="99"/>
    <w:semiHidden/>
    <w:rsid w:val="002C237B"/>
    <w:rPr>
      <w:sz w:val="20"/>
      <w:szCs w:val="25"/>
    </w:rPr>
  </w:style>
  <w:style w:type="character" w:styleId="FootnoteReference">
    <w:name w:val="footnote reference"/>
    <w:basedOn w:val="DefaultParagraphFont"/>
    <w:uiPriority w:val="99"/>
    <w:semiHidden/>
    <w:unhideWhenUsed/>
    <w:rsid w:val="002C237B"/>
    <w:rPr>
      <w:vertAlign w:val="superscript"/>
    </w:rPr>
  </w:style>
  <w:style w:type="paragraph" w:styleId="ListParagraph">
    <w:name w:val="List Paragraph"/>
    <w:basedOn w:val="Normal"/>
    <w:uiPriority w:val="34"/>
    <w:qFormat/>
    <w:rsid w:val="00CC1536"/>
    <w:pPr>
      <w:ind w:left="720"/>
      <w:contextualSpacing/>
    </w:pPr>
  </w:style>
  <w:style w:type="table" w:styleId="TableGrid">
    <w:name w:val="Table Grid"/>
    <w:basedOn w:val="TableNormal"/>
    <w:uiPriority w:val="39"/>
    <w:rsid w:val="00545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enter">
    <w:name w:val="text-center"/>
    <w:basedOn w:val="Normal"/>
    <w:rsid w:val="005456F1"/>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5456F1"/>
    <w:pPr>
      <w:spacing w:before="100" w:beforeAutospacing="1" w:after="100" w:afterAutospacing="1" w:line="240" w:lineRule="auto"/>
    </w:pPr>
    <w:rPr>
      <w:rFonts w:ascii="Times New Roman" w:hAnsi="Times New Roman" w:cs="Times New Roman"/>
      <w:sz w:val="24"/>
      <w:szCs w:val="24"/>
    </w:rPr>
  </w:style>
  <w:style w:type="table" w:styleId="GridTable3">
    <w:name w:val="Grid Table 3"/>
    <w:basedOn w:val="TableNormal"/>
    <w:uiPriority w:val="48"/>
    <w:rsid w:val="005456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5456F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6E10DF"/>
    <w:rPr>
      <w:color w:val="808080"/>
    </w:rPr>
  </w:style>
  <w:style w:type="character" w:customStyle="1" w:styleId="Heading2Char">
    <w:name w:val="Heading 2 Char"/>
    <w:basedOn w:val="DefaultParagraphFont"/>
    <w:link w:val="Heading2"/>
    <w:uiPriority w:val="9"/>
    <w:rsid w:val="004A17CF"/>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134962"/>
    <w:rPr>
      <w:rFonts w:asciiTheme="majorHAnsi" w:eastAsiaTheme="majorEastAsia" w:hAnsiTheme="majorHAnsi" w:cstheme="majorBidi"/>
      <w:color w:val="1F4D78" w:themeColor="accent1" w:themeShade="7F"/>
      <w:sz w:val="24"/>
      <w:szCs w:val="30"/>
    </w:rPr>
  </w:style>
  <w:style w:type="character" w:customStyle="1" w:styleId="mi">
    <w:name w:val="mi"/>
    <w:basedOn w:val="DefaultParagraphFont"/>
    <w:rsid w:val="00EE5BFF"/>
  </w:style>
  <w:style w:type="character" w:customStyle="1" w:styleId="mjxassistivemathml">
    <w:name w:val="mjx_assistive_mathml"/>
    <w:basedOn w:val="DefaultParagraphFont"/>
    <w:rsid w:val="00EE5BFF"/>
  </w:style>
  <w:style w:type="character" w:styleId="HTMLCode">
    <w:name w:val="HTML Code"/>
    <w:basedOn w:val="DefaultParagraphFont"/>
    <w:uiPriority w:val="99"/>
    <w:semiHidden/>
    <w:unhideWhenUsed/>
    <w:rsid w:val="00EE5BFF"/>
    <w:rPr>
      <w:rFonts w:ascii="Courier New" w:eastAsia="Times New Roman" w:hAnsi="Courier New" w:cs="Courier New"/>
      <w:sz w:val="20"/>
      <w:szCs w:val="20"/>
    </w:rPr>
  </w:style>
  <w:style w:type="character" w:customStyle="1" w:styleId="mo">
    <w:name w:val="mo"/>
    <w:basedOn w:val="DefaultParagraphFont"/>
    <w:rsid w:val="00EE5BFF"/>
  </w:style>
  <w:style w:type="character" w:styleId="Emphasis">
    <w:name w:val="Emphasis"/>
    <w:basedOn w:val="DefaultParagraphFont"/>
    <w:uiPriority w:val="20"/>
    <w:qFormat/>
    <w:rsid w:val="00EE5BFF"/>
    <w:rPr>
      <w:i/>
      <w:iCs/>
    </w:rPr>
  </w:style>
  <w:style w:type="character" w:customStyle="1" w:styleId="mn">
    <w:name w:val="mn"/>
    <w:basedOn w:val="DefaultParagraphFont"/>
    <w:rsid w:val="0096673F"/>
  </w:style>
  <w:style w:type="character" w:customStyle="1" w:styleId="Heading4Char">
    <w:name w:val="Heading 4 Char"/>
    <w:basedOn w:val="DefaultParagraphFont"/>
    <w:link w:val="Heading4"/>
    <w:uiPriority w:val="9"/>
    <w:rsid w:val="0023001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4F03B8"/>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4F03B8"/>
    <w:rPr>
      <w:rFonts w:asciiTheme="majorHAnsi" w:eastAsia="Times New Roman" w:hAnsiTheme="majorHAnsi" w:cs="Angsana New"/>
      <w:color w:val="000000"/>
      <w:sz w:val="20"/>
      <w:szCs w:val="22"/>
      <w:lang w:val="es-AR"/>
    </w:rPr>
  </w:style>
  <w:style w:type="paragraph" w:styleId="Footer">
    <w:name w:val="footer"/>
    <w:basedOn w:val="Normal"/>
    <w:link w:val="FooterChar"/>
    <w:uiPriority w:val="99"/>
    <w:unhideWhenUsed/>
    <w:rsid w:val="004F03B8"/>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4F03B8"/>
    <w:rPr>
      <w:rFonts w:asciiTheme="majorHAnsi" w:eastAsia="Times New Roman" w:hAnsiTheme="majorHAnsi" w:cs="Angsana New"/>
      <w:color w:val="000000"/>
      <w:sz w:val="20"/>
      <w:szCs w:val="22"/>
      <w:lang w:val="es-AR"/>
    </w:rPr>
  </w:style>
  <w:style w:type="paragraph" w:styleId="Caption">
    <w:name w:val="caption"/>
    <w:basedOn w:val="Normal"/>
    <w:next w:val="Normal"/>
    <w:uiPriority w:val="35"/>
    <w:unhideWhenUsed/>
    <w:qFormat/>
    <w:rsid w:val="00CD0EA8"/>
    <w:pPr>
      <w:spacing w:before="120" w:after="200" w:line="240" w:lineRule="auto"/>
      <w:jc w:val="center"/>
    </w:pPr>
    <w:rPr>
      <w:rFonts w:cs="Angsana New"/>
      <w:i/>
      <w:iCs/>
      <w:color w:val="44546A" w:themeColor="text2"/>
      <w:sz w:val="18"/>
    </w:rPr>
  </w:style>
  <w:style w:type="table" w:styleId="ListTable1Light">
    <w:name w:val="List Table 1 Light"/>
    <w:basedOn w:val="TableNormal"/>
    <w:uiPriority w:val="46"/>
    <w:rsid w:val="00E8681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E86811"/>
    <w:pPr>
      <w:spacing w:after="0" w:line="240" w:lineRule="auto"/>
      <w:jc w:val="both"/>
    </w:pPr>
    <w:rPr>
      <w:rFonts w:asciiTheme="majorHAnsi" w:eastAsia="Times New Roman" w:hAnsiTheme="majorHAnsi" w:cs="Angsana New"/>
      <w:color w:val="000000"/>
      <w:sz w:val="20"/>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0917">
      <w:bodyDiv w:val="1"/>
      <w:marLeft w:val="0"/>
      <w:marRight w:val="0"/>
      <w:marTop w:val="0"/>
      <w:marBottom w:val="0"/>
      <w:divBdr>
        <w:top w:val="none" w:sz="0" w:space="0" w:color="auto"/>
        <w:left w:val="none" w:sz="0" w:space="0" w:color="auto"/>
        <w:bottom w:val="none" w:sz="0" w:space="0" w:color="auto"/>
        <w:right w:val="none" w:sz="0" w:space="0" w:color="auto"/>
      </w:divBdr>
    </w:div>
    <w:div w:id="125201846">
      <w:bodyDiv w:val="1"/>
      <w:marLeft w:val="0"/>
      <w:marRight w:val="0"/>
      <w:marTop w:val="0"/>
      <w:marBottom w:val="0"/>
      <w:divBdr>
        <w:top w:val="none" w:sz="0" w:space="0" w:color="auto"/>
        <w:left w:val="none" w:sz="0" w:space="0" w:color="auto"/>
        <w:bottom w:val="none" w:sz="0" w:space="0" w:color="auto"/>
        <w:right w:val="none" w:sz="0" w:space="0" w:color="auto"/>
      </w:divBdr>
    </w:div>
    <w:div w:id="219094161">
      <w:bodyDiv w:val="1"/>
      <w:marLeft w:val="0"/>
      <w:marRight w:val="0"/>
      <w:marTop w:val="0"/>
      <w:marBottom w:val="0"/>
      <w:divBdr>
        <w:top w:val="none" w:sz="0" w:space="0" w:color="auto"/>
        <w:left w:val="none" w:sz="0" w:space="0" w:color="auto"/>
        <w:bottom w:val="none" w:sz="0" w:space="0" w:color="auto"/>
        <w:right w:val="none" w:sz="0" w:space="0" w:color="auto"/>
      </w:divBdr>
    </w:div>
    <w:div w:id="431512570">
      <w:bodyDiv w:val="1"/>
      <w:marLeft w:val="0"/>
      <w:marRight w:val="0"/>
      <w:marTop w:val="0"/>
      <w:marBottom w:val="0"/>
      <w:divBdr>
        <w:top w:val="none" w:sz="0" w:space="0" w:color="auto"/>
        <w:left w:val="none" w:sz="0" w:space="0" w:color="auto"/>
        <w:bottom w:val="none" w:sz="0" w:space="0" w:color="auto"/>
        <w:right w:val="none" w:sz="0" w:space="0" w:color="auto"/>
      </w:divBdr>
    </w:div>
    <w:div w:id="450711551">
      <w:bodyDiv w:val="1"/>
      <w:marLeft w:val="0"/>
      <w:marRight w:val="0"/>
      <w:marTop w:val="0"/>
      <w:marBottom w:val="0"/>
      <w:divBdr>
        <w:top w:val="none" w:sz="0" w:space="0" w:color="auto"/>
        <w:left w:val="none" w:sz="0" w:space="0" w:color="auto"/>
        <w:bottom w:val="none" w:sz="0" w:space="0" w:color="auto"/>
        <w:right w:val="none" w:sz="0" w:space="0" w:color="auto"/>
      </w:divBdr>
    </w:div>
    <w:div w:id="466629664">
      <w:bodyDiv w:val="1"/>
      <w:marLeft w:val="0"/>
      <w:marRight w:val="0"/>
      <w:marTop w:val="0"/>
      <w:marBottom w:val="0"/>
      <w:divBdr>
        <w:top w:val="none" w:sz="0" w:space="0" w:color="auto"/>
        <w:left w:val="none" w:sz="0" w:space="0" w:color="auto"/>
        <w:bottom w:val="none" w:sz="0" w:space="0" w:color="auto"/>
        <w:right w:val="none" w:sz="0" w:space="0" w:color="auto"/>
      </w:divBdr>
    </w:div>
    <w:div w:id="504446093">
      <w:bodyDiv w:val="1"/>
      <w:marLeft w:val="0"/>
      <w:marRight w:val="0"/>
      <w:marTop w:val="0"/>
      <w:marBottom w:val="0"/>
      <w:divBdr>
        <w:top w:val="none" w:sz="0" w:space="0" w:color="auto"/>
        <w:left w:val="none" w:sz="0" w:space="0" w:color="auto"/>
        <w:bottom w:val="none" w:sz="0" w:space="0" w:color="auto"/>
        <w:right w:val="none" w:sz="0" w:space="0" w:color="auto"/>
      </w:divBdr>
    </w:div>
    <w:div w:id="763496612">
      <w:bodyDiv w:val="1"/>
      <w:marLeft w:val="0"/>
      <w:marRight w:val="0"/>
      <w:marTop w:val="0"/>
      <w:marBottom w:val="0"/>
      <w:divBdr>
        <w:top w:val="none" w:sz="0" w:space="0" w:color="auto"/>
        <w:left w:val="none" w:sz="0" w:space="0" w:color="auto"/>
        <w:bottom w:val="none" w:sz="0" w:space="0" w:color="auto"/>
        <w:right w:val="none" w:sz="0" w:space="0" w:color="auto"/>
      </w:divBdr>
    </w:div>
    <w:div w:id="791442072">
      <w:bodyDiv w:val="1"/>
      <w:marLeft w:val="0"/>
      <w:marRight w:val="0"/>
      <w:marTop w:val="0"/>
      <w:marBottom w:val="0"/>
      <w:divBdr>
        <w:top w:val="none" w:sz="0" w:space="0" w:color="auto"/>
        <w:left w:val="none" w:sz="0" w:space="0" w:color="auto"/>
        <w:bottom w:val="none" w:sz="0" w:space="0" w:color="auto"/>
        <w:right w:val="none" w:sz="0" w:space="0" w:color="auto"/>
      </w:divBdr>
    </w:div>
    <w:div w:id="806631416">
      <w:bodyDiv w:val="1"/>
      <w:marLeft w:val="0"/>
      <w:marRight w:val="0"/>
      <w:marTop w:val="0"/>
      <w:marBottom w:val="0"/>
      <w:divBdr>
        <w:top w:val="none" w:sz="0" w:space="0" w:color="auto"/>
        <w:left w:val="none" w:sz="0" w:space="0" w:color="auto"/>
        <w:bottom w:val="none" w:sz="0" w:space="0" w:color="auto"/>
        <w:right w:val="none" w:sz="0" w:space="0" w:color="auto"/>
      </w:divBdr>
    </w:div>
    <w:div w:id="852840957">
      <w:bodyDiv w:val="1"/>
      <w:marLeft w:val="0"/>
      <w:marRight w:val="0"/>
      <w:marTop w:val="0"/>
      <w:marBottom w:val="0"/>
      <w:divBdr>
        <w:top w:val="none" w:sz="0" w:space="0" w:color="auto"/>
        <w:left w:val="none" w:sz="0" w:space="0" w:color="auto"/>
        <w:bottom w:val="none" w:sz="0" w:space="0" w:color="auto"/>
        <w:right w:val="none" w:sz="0" w:space="0" w:color="auto"/>
      </w:divBdr>
    </w:div>
    <w:div w:id="869034426">
      <w:bodyDiv w:val="1"/>
      <w:marLeft w:val="0"/>
      <w:marRight w:val="0"/>
      <w:marTop w:val="0"/>
      <w:marBottom w:val="0"/>
      <w:divBdr>
        <w:top w:val="none" w:sz="0" w:space="0" w:color="auto"/>
        <w:left w:val="none" w:sz="0" w:space="0" w:color="auto"/>
        <w:bottom w:val="none" w:sz="0" w:space="0" w:color="auto"/>
        <w:right w:val="none" w:sz="0" w:space="0" w:color="auto"/>
      </w:divBdr>
    </w:div>
    <w:div w:id="892346140">
      <w:bodyDiv w:val="1"/>
      <w:marLeft w:val="0"/>
      <w:marRight w:val="0"/>
      <w:marTop w:val="0"/>
      <w:marBottom w:val="0"/>
      <w:divBdr>
        <w:top w:val="none" w:sz="0" w:space="0" w:color="auto"/>
        <w:left w:val="none" w:sz="0" w:space="0" w:color="auto"/>
        <w:bottom w:val="none" w:sz="0" w:space="0" w:color="auto"/>
        <w:right w:val="none" w:sz="0" w:space="0" w:color="auto"/>
      </w:divBdr>
    </w:div>
    <w:div w:id="1122964334">
      <w:bodyDiv w:val="1"/>
      <w:marLeft w:val="0"/>
      <w:marRight w:val="0"/>
      <w:marTop w:val="0"/>
      <w:marBottom w:val="0"/>
      <w:divBdr>
        <w:top w:val="none" w:sz="0" w:space="0" w:color="auto"/>
        <w:left w:val="none" w:sz="0" w:space="0" w:color="auto"/>
        <w:bottom w:val="none" w:sz="0" w:space="0" w:color="auto"/>
        <w:right w:val="none" w:sz="0" w:space="0" w:color="auto"/>
      </w:divBdr>
    </w:div>
    <w:div w:id="1167861721">
      <w:bodyDiv w:val="1"/>
      <w:marLeft w:val="0"/>
      <w:marRight w:val="0"/>
      <w:marTop w:val="0"/>
      <w:marBottom w:val="0"/>
      <w:divBdr>
        <w:top w:val="none" w:sz="0" w:space="0" w:color="auto"/>
        <w:left w:val="none" w:sz="0" w:space="0" w:color="auto"/>
        <w:bottom w:val="none" w:sz="0" w:space="0" w:color="auto"/>
        <w:right w:val="none" w:sz="0" w:space="0" w:color="auto"/>
      </w:divBdr>
    </w:div>
    <w:div w:id="1224370650">
      <w:bodyDiv w:val="1"/>
      <w:marLeft w:val="0"/>
      <w:marRight w:val="0"/>
      <w:marTop w:val="0"/>
      <w:marBottom w:val="0"/>
      <w:divBdr>
        <w:top w:val="none" w:sz="0" w:space="0" w:color="auto"/>
        <w:left w:val="none" w:sz="0" w:space="0" w:color="auto"/>
        <w:bottom w:val="none" w:sz="0" w:space="0" w:color="auto"/>
        <w:right w:val="none" w:sz="0" w:space="0" w:color="auto"/>
      </w:divBdr>
    </w:div>
    <w:div w:id="1330209280">
      <w:bodyDiv w:val="1"/>
      <w:marLeft w:val="0"/>
      <w:marRight w:val="0"/>
      <w:marTop w:val="0"/>
      <w:marBottom w:val="0"/>
      <w:divBdr>
        <w:top w:val="none" w:sz="0" w:space="0" w:color="auto"/>
        <w:left w:val="none" w:sz="0" w:space="0" w:color="auto"/>
        <w:bottom w:val="none" w:sz="0" w:space="0" w:color="auto"/>
        <w:right w:val="none" w:sz="0" w:space="0" w:color="auto"/>
      </w:divBdr>
    </w:div>
    <w:div w:id="1607082852">
      <w:bodyDiv w:val="1"/>
      <w:marLeft w:val="0"/>
      <w:marRight w:val="0"/>
      <w:marTop w:val="0"/>
      <w:marBottom w:val="0"/>
      <w:divBdr>
        <w:top w:val="none" w:sz="0" w:space="0" w:color="auto"/>
        <w:left w:val="none" w:sz="0" w:space="0" w:color="auto"/>
        <w:bottom w:val="none" w:sz="0" w:space="0" w:color="auto"/>
        <w:right w:val="none" w:sz="0" w:space="0" w:color="auto"/>
      </w:divBdr>
    </w:div>
    <w:div w:id="1622565374">
      <w:bodyDiv w:val="1"/>
      <w:marLeft w:val="0"/>
      <w:marRight w:val="0"/>
      <w:marTop w:val="0"/>
      <w:marBottom w:val="0"/>
      <w:divBdr>
        <w:top w:val="none" w:sz="0" w:space="0" w:color="auto"/>
        <w:left w:val="none" w:sz="0" w:space="0" w:color="auto"/>
        <w:bottom w:val="none" w:sz="0" w:space="0" w:color="auto"/>
        <w:right w:val="none" w:sz="0" w:space="0" w:color="auto"/>
      </w:divBdr>
    </w:div>
    <w:div w:id="1673725931">
      <w:bodyDiv w:val="1"/>
      <w:marLeft w:val="0"/>
      <w:marRight w:val="0"/>
      <w:marTop w:val="0"/>
      <w:marBottom w:val="0"/>
      <w:divBdr>
        <w:top w:val="none" w:sz="0" w:space="0" w:color="auto"/>
        <w:left w:val="none" w:sz="0" w:space="0" w:color="auto"/>
        <w:bottom w:val="none" w:sz="0" w:space="0" w:color="auto"/>
        <w:right w:val="none" w:sz="0" w:space="0" w:color="auto"/>
      </w:divBdr>
    </w:div>
    <w:div w:id="1762291049">
      <w:bodyDiv w:val="1"/>
      <w:marLeft w:val="0"/>
      <w:marRight w:val="0"/>
      <w:marTop w:val="0"/>
      <w:marBottom w:val="0"/>
      <w:divBdr>
        <w:top w:val="none" w:sz="0" w:space="0" w:color="auto"/>
        <w:left w:val="none" w:sz="0" w:space="0" w:color="auto"/>
        <w:bottom w:val="none" w:sz="0" w:space="0" w:color="auto"/>
        <w:right w:val="none" w:sz="0" w:space="0" w:color="auto"/>
      </w:divBdr>
    </w:div>
    <w:div w:id="1794596941">
      <w:bodyDiv w:val="1"/>
      <w:marLeft w:val="0"/>
      <w:marRight w:val="0"/>
      <w:marTop w:val="0"/>
      <w:marBottom w:val="0"/>
      <w:divBdr>
        <w:top w:val="none" w:sz="0" w:space="0" w:color="auto"/>
        <w:left w:val="none" w:sz="0" w:space="0" w:color="auto"/>
        <w:bottom w:val="none" w:sz="0" w:space="0" w:color="auto"/>
        <w:right w:val="none" w:sz="0" w:space="0" w:color="auto"/>
      </w:divBdr>
    </w:div>
    <w:div w:id="1870604896">
      <w:bodyDiv w:val="1"/>
      <w:marLeft w:val="0"/>
      <w:marRight w:val="0"/>
      <w:marTop w:val="0"/>
      <w:marBottom w:val="0"/>
      <w:divBdr>
        <w:top w:val="none" w:sz="0" w:space="0" w:color="auto"/>
        <w:left w:val="none" w:sz="0" w:space="0" w:color="auto"/>
        <w:bottom w:val="none" w:sz="0" w:space="0" w:color="auto"/>
        <w:right w:val="none" w:sz="0" w:space="0" w:color="auto"/>
      </w:divBdr>
    </w:div>
    <w:div w:id="1875457679">
      <w:bodyDiv w:val="1"/>
      <w:marLeft w:val="0"/>
      <w:marRight w:val="0"/>
      <w:marTop w:val="0"/>
      <w:marBottom w:val="0"/>
      <w:divBdr>
        <w:top w:val="none" w:sz="0" w:space="0" w:color="auto"/>
        <w:left w:val="none" w:sz="0" w:space="0" w:color="auto"/>
        <w:bottom w:val="none" w:sz="0" w:space="0" w:color="auto"/>
        <w:right w:val="none" w:sz="0" w:space="0" w:color="auto"/>
      </w:divBdr>
    </w:div>
    <w:div w:id="1898079337">
      <w:bodyDiv w:val="1"/>
      <w:marLeft w:val="0"/>
      <w:marRight w:val="0"/>
      <w:marTop w:val="0"/>
      <w:marBottom w:val="0"/>
      <w:divBdr>
        <w:top w:val="none" w:sz="0" w:space="0" w:color="auto"/>
        <w:left w:val="none" w:sz="0" w:space="0" w:color="auto"/>
        <w:bottom w:val="none" w:sz="0" w:space="0" w:color="auto"/>
        <w:right w:val="none" w:sz="0" w:space="0" w:color="auto"/>
      </w:divBdr>
    </w:div>
    <w:div w:id="1913615468">
      <w:bodyDiv w:val="1"/>
      <w:marLeft w:val="0"/>
      <w:marRight w:val="0"/>
      <w:marTop w:val="0"/>
      <w:marBottom w:val="0"/>
      <w:divBdr>
        <w:top w:val="none" w:sz="0" w:space="0" w:color="auto"/>
        <w:left w:val="none" w:sz="0" w:space="0" w:color="auto"/>
        <w:bottom w:val="none" w:sz="0" w:space="0" w:color="auto"/>
        <w:right w:val="none" w:sz="0" w:space="0" w:color="auto"/>
      </w:divBdr>
    </w:div>
    <w:div w:id="1976596247">
      <w:bodyDiv w:val="1"/>
      <w:marLeft w:val="0"/>
      <w:marRight w:val="0"/>
      <w:marTop w:val="0"/>
      <w:marBottom w:val="0"/>
      <w:divBdr>
        <w:top w:val="none" w:sz="0" w:space="0" w:color="auto"/>
        <w:left w:val="none" w:sz="0" w:space="0" w:color="auto"/>
        <w:bottom w:val="none" w:sz="0" w:space="0" w:color="auto"/>
        <w:right w:val="none" w:sz="0" w:space="0" w:color="auto"/>
      </w:divBdr>
    </w:div>
    <w:div w:id="2039575846">
      <w:bodyDiv w:val="1"/>
      <w:marLeft w:val="0"/>
      <w:marRight w:val="0"/>
      <w:marTop w:val="0"/>
      <w:marBottom w:val="0"/>
      <w:divBdr>
        <w:top w:val="none" w:sz="0" w:space="0" w:color="auto"/>
        <w:left w:val="none" w:sz="0" w:space="0" w:color="auto"/>
        <w:bottom w:val="none" w:sz="0" w:space="0" w:color="auto"/>
        <w:right w:val="none" w:sz="0" w:space="0" w:color="auto"/>
      </w:divBdr>
    </w:div>
    <w:div w:id="2044820090">
      <w:bodyDiv w:val="1"/>
      <w:marLeft w:val="0"/>
      <w:marRight w:val="0"/>
      <w:marTop w:val="0"/>
      <w:marBottom w:val="0"/>
      <w:divBdr>
        <w:top w:val="none" w:sz="0" w:space="0" w:color="auto"/>
        <w:left w:val="none" w:sz="0" w:space="0" w:color="auto"/>
        <w:bottom w:val="none" w:sz="0" w:space="0" w:color="auto"/>
        <w:right w:val="none" w:sz="0" w:space="0" w:color="auto"/>
      </w:divBdr>
    </w:div>
    <w:div w:id="2108188535">
      <w:bodyDiv w:val="1"/>
      <w:marLeft w:val="0"/>
      <w:marRight w:val="0"/>
      <w:marTop w:val="0"/>
      <w:marBottom w:val="0"/>
      <w:divBdr>
        <w:top w:val="none" w:sz="0" w:space="0" w:color="auto"/>
        <w:left w:val="none" w:sz="0" w:space="0" w:color="auto"/>
        <w:bottom w:val="none" w:sz="0" w:space="0" w:color="auto"/>
        <w:right w:val="none" w:sz="0" w:space="0" w:color="auto"/>
      </w:divBdr>
    </w:div>
    <w:div w:id="21397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Age05</b:Tag>
    <b:SourceType>InternetSite</b:SourceType>
    <b:Guid>{0818B08E-318A-4C67-A395-D2BA9A95DAB4}</b:Guid>
    <b:Author>
      <b:Author>
        <b:Corporate>Agency for Healthcare Research and Quality, AHRQ.</b:Corporate>
      </b:Author>
    </b:Author>
    <b:Title>Reducing and Preventing Adverse Drug Events to Decrease Hospital Costs.</b:Title>
    <b:Year>2005</b:Year>
    <b:InternetSiteTitle>Agency for Healthcare Research and Quality</b:InternetSiteTitle>
    <b:Month>March</b:Month>
    <b:Day>6</b:Day>
    <b:URL>https://psnet.ahrq.gov/issue/reducing-and-preventing-adverse-drug-events-decrease-hospital-costs</b:URL>
    <b:RefOrder>1</b:RefOrder>
  </b:Source>
  <b:Source>
    <b:Tag>Hes16</b:Tag>
    <b:SourceType>JournalArticle</b:SourceType>
    <b:Guid>{0C64A9CB-935F-4092-8DE4-700E77933806}</b:Guid>
    <b:Title>Use of data mining at the Food and Drug Administration</b:Title>
    <b:Year>2016</b:Year>
    <b:Author>
      <b:Author>
        <b:NameList>
          <b:Person>
            <b:Last>Hesha J Duggirala</b:Last>
            <b:First>Joseph</b:First>
            <b:Middle>M Tonning, Ella Smith, Roselie A Bright, John D Baker, Robert Ball, Carlos Bell, Susan J Bright-Ponte, Taxiarchis Botsis, Khaled Bouri, Marc Boyer, Keith Burkhart, G Steven Condrey, James J Chen, Stuart Chirtel, Ross W Filice, He</b:Middle>
          </b:Person>
        </b:NameList>
      </b:Author>
    </b:Author>
    <b:JournalName>ournal of the American Medical Informatics Association Volume 23, Issue 2</b:JournalName>
    <b:Pages>428–434</b:Pages>
    <b:RefOrder>2</b:RefOrder>
  </b:Source>
  <b:Source>
    <b:Tag>Wal03</b:Tag>
    <b:SourceType>JournalArticle</b:SourceType>
    <b:Guid>{2DD48E47-5EA8-46C5-9538-8C05B93F1078}</b:Guid>
    <b:Author>
      <b:Author>
        <b:NameList>
          <b:Person>
            <b:Last>Waller</b:Last>
            <b:First>P.</b:First>
            <b:Middle>C., &amp; Evans, S. J.</b:Middle>
          </b:Person>
        </b:NameList>
      </b:Author>
    </b:Author>
    <b:Title>A model for the future conduct of pharmacovigilance</b:Title>
    <b:JournalName>Pharmacoepidemiology and drug safety, 12(1)</b:JournalName>
    <b:Year>2003</b:Year>
    <b:Pages>17-29</b:Pages>
    <b:RefOrder>3</b:RefOrder>
  </b:Source>
  <b:Source>
    <b:Tag>Fin74</b:Tag>
    <b:SourceType>JournalArticle</b:SourceType>
    <b:Guid>{BE699A99-E77C-4A9E-8E6B-6B9EEA10C00D}</b:Guid>
    <b:Author>
      <b:Author>
        <b:NameList>
          <b:Person>
            <b:Last>Finney</b:Last>
            <b:First>D.</b:First>
            <b:Middle>J.</b:Middle>
          </b:Person>
        </b:NameList>
      </b:Author>
    </b:Author>
    <b:Title>stematic Signalling of Adverse Reactions to Drugs</b:Title>
    <b:JournalName>Methods of Information in Medicine, 13(01)</b:JournalName>
    <b:Year>1974</b:Year>
    <b:Pages>01-10</b:Pages>
    <b:RefOrder>4</b:RefOrder>
  </b:Source>
  <b:Source>
    <b:Tag>Bat09</b:Tag>
    <b:SourceType>JournalArticle</b:SourceType>
    <b:Guid>{82470FBC-0706-436F-83F3-338ECFE8514C}</b:Guid>
    <b:Author>
      <b:Author>
        <b:NameList>
          <b:Person>
            <b:Last>Bate</b:Last>
            <b:First>A.,</b:First>
            <b:Middle>&amp; Evans, S. J.</b:Middle>
          </b:Person>
        </b:NameList>
      </b:Author>
    </b:Author>
    <b:Title>Quantitative signal detection using spontaneous ADR reporting. </b:Title>
    <b:JournalName>Pharmacoepidemiology and drug safety, 18(6)</b:JournalName>
    <b:Year>2009</b:Year>
    <b:Pages>427–436</b:Pages>
    <b:RefOrder>6</b:RefOrder>
  </b:Source>
  <b:Source>
    <b:Tag>Sza04</b:Tag>
    <b:SourceType>JournalArticle</b:SourceType>
    <b:Guid>{FD3691E7-5264-4912-98C4-656141379E2F}</b:Guid>
    <b:Author>
      <b:Author>
        <b:NameList>
          <b:Person>
            <b:Last>Szarfman</b:Last>
            <b:First>A.,</b:First>
            <b:Middle>Tonning, J. M., &amp; Doraiswamy, P. M.</b:Middle>
          </b:Person>
        </b:NameList>
      </b:Author>
    </b:Author>
    <b:Title>Pharmacovigilance in the 21st century: new systematic tools for an old problem. </b:Title>
    <b:JournalName>Pharmacotherapy: The Journal of Human Pharmacology and Drug Therapy, 24(9)</b:JournalName>
    <b:Year>2004</b:Year>
    <b:Pages>1099-1104</b:Pages>
    <b:RefOrder>5</b:RefOrder>
  </b:Source>
  <b:Source>
    <b:Tag>DuM01</b:Tag>
    <b:SourceType>JournalArticle</b:SourceType>
    <b:Guid>{E596092F-2165-4A7F-89CF-52758A7BB088}</b:Guid>
    <b:Author>
      <b:Author>
        <b:NameList>
          <b:Person>
            <b:Last>DuMouchel</b:Last>
            <b:First>W.,</b:First>
            <b:Middle>&amp; Pregibon, D.</b:Middle>
          </b:Person>
        </b:NameList>
      </b:Author>
    </b:Author>
    <b:Title>Empirical bayes screening for multi-item associations</b:Title>
    <b:JournalName>Proceedings of the seventh ACM SIGKDD international conference on Knowledge discovery and data mining</b:JournalName>
    <b:Year>2001</b:Year>
    <b:Pages>67-76</b:Pages>
    <b:RefOrder>8</b:RefOrder>
  </b:Source>
  <b:Source>
    <b:Tag>DuM99</b:Tag>
    <b:SourceType>JournalArticle</b:SourceType>
    <b:Guid>{82D332CF-47F0-4D25-9799-D14D1C45F877}</b:Guid>
    <b:Author>
      <b:Author>
        <b:NameList>
          <b:Person>
            <b:Last>DuMouchel</b:Last>
            <b:First>W.</b:First>
          </b:Person>
        </b:NameList>
      </b:Author>
    </b:Author>
    <b:Title>Bayesian data mining in large frequency tables, with an application to the FDA spontaneous reporting system.</b:Title>
    <b:JournalName>The American Statistician, 53(3)</b:JournalName>
    <b:Year>1999</b:Year>
    <b:Pages>177-190</b:Pages>
    <b:RefOrder>7</b:RefOrder>
  </b:Source>
</b:Sources>
</file>

<file path=customXml/itemProps1.xml><?xml version="1.0" encoding="utf-8"?>
<ds:datastoreItem xmlns:ds="http://schemas.openxmlformats.org/officeDocument/2006/customXml" ds:itemID="{BC818160-DEF7-43D1-930B-7CF9A96C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6</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Boehringer Ingelheim</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D'Alessandro,Melina (HP ComOps) BI-AR-B</dc:creator>
  <cp:keywords/>
  <dc:description/>
  <cp:lastModifiedBy>D'Alessandro,Melina (HP ComOps) BI-AR-B</cp:lastModifiedBy>
  <cp:revision>76</cp:revision>
  <cp:lastPrinted>2020-07-27T17:08:00Z</cp:lastPrinted>
  <dcterms:created xsi:type="dcterms:W3CDTF">2020-07-25T20:29:00Z</dcterms:created>
  <dcterms:modified xsi:type="dcterms:W3CDTF">2020-08-15T00:36:00Z</dcterms:modified>
</cp:coreProperties>
</file>