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
    <w:p/>
    <w:p/>
    <w:p>
      <w:pPr>
        <w:jc w:val="center"/>
      </w:pPr>
      <w:r>
        <w:rPr>
          <w:rFonts w:ascii="Times New Roman" w:hAnsi="Times New Roman"/>
          <w:b/>
          <w:sz w:val="72"/>
        </w:rPr>
        <w:t>Gradient Descent</w:t>
      </w:r>
    </w:p>
    <w:p>
      <w:pPr>
        <w:jc w:val="center"/>
      </w:pPr>
      <w:r>
        <w:rPr>
          <w:rFonts w:ascii="Times New Roman" w:hAnsi="Times New Roman"/>
          <w:i/>
          <w:sz w:val="24"/>
        </w:rPr>
        <w:t>A Comprehensive Guide to Optimization Algorithms</w:t>
      </w:r>
    </w:p>
    <w:p>
      <w:pPr>
        <w:jc w:val="center"/>
      </w:pPr>
      <w:r>
        <w:rPr>
          <w:rFonts w:ascii="Times New Roman" w:hAnsi="Times New Roman"/>
          <w:sz w:val="24"/>
        </w:rPr>
        <w:t>An in-depth exploration of gradient descent algorithms, mathematical foundations, and practical applications in machine learning.</w:t>
      </w:r>
    </w:p>
    <w:p>
      <w:pPr>
        <w:jc w:val="center"/>
      </w:pPr>
      <w:r>
        <w:rPr>
          <w:rFonts w:ascii="Times New Roman" w:hAnsi="Times New Roman"/>
          <w:sz w:val="24"/>
        </w:rPr>
        <w:t>Autor: Maru</w:t>
      </w:r>
    </w:p>
    <w:p>
      <w:pPr>
        <w:jc w:val="center"/>
      </w:pPr>
      <w:r>
        <w:rPr>
          <w:rFonts w:ascii="Times New Roman" w:hAnsi="Times New Roman"/>
          <w:sz w:val="24"/>
        </w:rPr>
        <w:t>February 2026</w:t>
      </w:r>
    </w:p>
    <w:p>
      <w:pPr>
        <w:sectPr>
          <w:pgSz w:w="12240" w:h="15840"/>
          <w:pgMar w:top="1440" w:right="1800" w:bottom="1440" w:left="1800" w:header="720" w:footer="720" w:gutter="0"/>
          <w:cols w:space="720"/>
          <w:docGrid w:linePitch="360"/>
        </w:sectPr>
      </w:pPr>
    </w:p>
    <w:p>
      <w:pPr>
        <w:pStyle w:val="Heading1"/>
        <w:jc w:val="center"/>
      </w:pPr>
      <w:r>
        <w:rPr>
          <w:rFonts w:ascii="Times New Roman" w:hAnsi="Times New Roman"/>
        </w:rPr>
        <w:t>Introduction to Gradient Descent</w:t>
      </w:r>
    </w:p>
    <w:p>
      <w:pPr>
        <w:jc w:val="both"/>
      </w:pPr>
      <w:r>
        <w:rPr>
          <w:rFonts w:ascii="Times New Roman" w:hAnsi="Times New Roman"/>
          <w:b w:val="0"/>
          <w:i w:val="0"/>
          <w:sz w:val="24"/>
        </w:rPr>
        <w:t>Gradient descent is a fundamental optimization algorithm used extensively in machine learning and deep learning. It is an iterative method that aims to find the minimum of a cost function by taking steps proportional to the negative of the gradient at the current point. The algorithm is simple yet powerful, serving as the backbone for training neural networks and other machine learning models.</w:t>
      </w:r>
      <w:r>
        <w:rPr>
          <w:rFonts w:ascii="Times New Roman" w:hAnsi="Times New Roman"/>
          <w:b w:val="0"/>
          <w:i w:val="0"/>
          <w:sz w:val="24"/>
        </w:rPr>
        <w:t>The core idea behind gradient descent is intuitive: imagine standing on a hillside and wanting to reach the valley (minimum) as quickly as possible. The steepest descent direction is indicated by the negative gradient, and by repeatedly taking steps in this direction, we eventually reach the bottom of the valley.</w:t>
      </w:r>
    </w:p>
    <w:p>
      <w:pPr>
        <w:pStyle w:val="Heading1"/>
        <w:jc w:val="center"/>
      </w:pPr>
      <w:r>
        <w:rPr>
          <w:rFonts w:ascii="Times New Roman" w:hAnsi="Times New Roman"/>
        </w:rPr>
        <w:t>Mathematical Foundations</w:t>
      </w:r>
    </w:p>
    <w:p>
      <w:pPr>
        <w:pStyle w:val="Heading2"/>
        <w:jc w:val="center"/>
      </w:pPr>
      <w:r>
        <w:rPr>
          <w:rFonts w:ascii="Times New Roman" w:hAnsi="Times New Roman"/>
        </w:rPr>
        <w:t>The Gradient and Derivative</w:t>
      </w:r>
    </w:p>
    <w:p>
      <w:pPr>
        <w:jc w:val="both"/>
      </w:pPr>
      <w:r>
        <w:rPr>
          <w:rFonts w:ascii="Times New Roman" w:hAnsi="Times New Roman"/>
          <w:b w:val="0"/>
          <w:i w:val="0"/>
          <w:sz w:val="24"/>
        </w:rPr>
        <w:t xml:space="preserve">The </w:t>
      </w:r>
      <w:r>
        <w:rPr>
          <w:rFonts w:ascii="Times New Roman" w:hAnsi="Times New Roman"/>
          <w:b/>
          <w:i w:val="0"/>
          <w:sz w:val="24"/>
        </w:rPr>
        <w:t>gradient</w:t>
      </w:r>
      <w:r>
        <w:rPr>
          <w:rFonts w:ascii="Times New Roman" w:hAnsi="Times New Roman"/>
          <w:b w:val="0"/>
          <w:i w:val="0"/>
          <w:sz w:val="24"/>
        </w:rPr>
        <w:t xml:space="preserve"> is a vector of partial derivatives that points in the direction of the steepest increase of a function. For a function f(x), the gradient ∇f(x) indicates how the function changes with respect to each variable. The derivative, a special case of the gradient for single-variable functions, measures the rate of change.</w:t>
      </w:r>
    </w:p>
    <w:p>
      <w:pPr>
        <w:jc w:val="center"/>
      </w:pPr>
      <w:r>
        <w:drawing>
          <wp:inline xmlns:a="http://schemas.openxmlformats.org/drawingml/2006/main" xmlns:pic="http://schemas.openxmlformats.org/drawingml/2006/picture">
            <wp:extent cx="2286000" cy="1269191"/>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2286000" cy="1269191"/>
                    </a:xfrm>
                    <a:prstGeom prst="rect"/>
                  </pic:spPr>
                </pic:pic>
              </a:graphicData>
            </a:graphic>
          </wp:inline>
        </w:drawing>
      </w:r>
    </w:p>
    <w:p>
      <w:pPr>
        <w:pStyle w:val="Caption"/>
        <w:jc w:val="center"/>
      </w:pPr>
      <w:r>
        <w:t>Figure 1: Visual representation of derivatives and gradient descent direction on a cost function.</w:t>
      </w:r>
    </w:p>
    <w:p>
      <w:pPr>
        <w:jc w:val="center"/>
      </w:pPr>
      <w:r>
        <w:drawing>
          <wp:inline xmlns:a="http://schemas.openxmlformats.org/drawingml/2006/main" xmlns:pic="http://schemas.openxmlformats.org/drawingml/2006/picture">
            <wp:extent cx="2286000" cy="133795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2286000" cy="1337950"/>
                    </a:xfrm>
                    <a:prstGeom prst="rect"/>
                  </pic:spPr>
                </pic:pic>
              </a:graphicData>
            </a:graphic>
          </wp:inline>
        </w:drawing>
      </w:r>
    </w:p>
    <w:p>
      <w:pPr>
        <w:pStyle w:val="Caption"/>
        <w:jc w:val="center"/>
      </w:pPr>
      <w:r>
        <w:t>Figure 2: Derivative concept showing the rate of change of a function at a point.</w:t>
      </w:r>
    </w:p>
    <w:p>
      <m:oMath>
        <m:box>
          <m:e>
            <m:f>
              <m:num>
                <m:box>
                  <m:e>
                    <m:r>
                      <m:rPr>
                        <m:sty m:val="i"/>
                      </m:rPr>
                      <m:t>d</m:t>
                    </m:r>
                    <m:r>
                      <m:rPr>
                        <m:sty m:val="i"/>
                      </m:rPr>
                      <m:t>s</m:t>
                    </m:r>
                  </m:e>
                </m:box>
              </m:num>
              <m:den>
                <m:box>
                  <m:e>
                    <m:r>
                      <m:rPr>
                        <m:sty m:val="i"/>
                      </m:rPr>
                      <m:t>d</m:t>
                    </m:r>
                    <m:r>
                      <m:rPr>
                        <m:sty m:val="i"/>
                      </m:rPr>
                      <m:t>t</m:t>
                    </m:r>
                  </m:e>
                </m:box>
              </m:den>
            </m:f>
            <m:r>
              <m:rPr>
                <m:sty m:val="p"/>
              </m:rPr>
              <m:t>(</m:t>
            </m:r>
            <m:r>
              <m:rPr>
                <m:sty m:val="i"/>
              </m:rPr>
              <m:t>t</m:t>
            </m:r>
            <m:r>
              <m:rPr>
                <m:sty m:val="p"/>
              </m:rPr>
              <m:t>)</m:t>
            </m:r>
            <m:r>
              <m:rPr>
                <m:sty m:val="p"/>
              </m:rPr>
              <m:t>=</m:t>
            </m:r>
            <m:sSub>
              <m:e>
                <m:r>
                  <m:rPr>
                    <m:sty m:val="p"/>
                  </m:rPr>
                  <m:t>lim</m:t>
                </m:r>
              </m:e>
              <m:sub>
                <m:box>
                  <m:e>
                    <m:r>
                      <m:rPr>
                        <m:sty m:val="i"/>
                      </m:rPr>
                      <m:t>d</m:t>
                    </m:r>
                    <m:r>
                      <m:rPr>
                        <m:sty m:val="i"/>
                      </m:rPr>
                      <m:t>t</m:t>
                    </m:r>
                    <m:r>
                      <m:rPr>
                        <m:sty m:val="p"/>
                      </m:rPr>
                      <m:t>→</m:t>
                    </m:r>
                    <m:r>
                      <m:rPr>
                        <m:sty m:val="p"/>
                      </m:rPr>
                      <m:t>0</m:t>
                    </m:r>
                  </m:e>
                </m:box>
              </m:sub>
            </m:sSub>
            <m:f>
              <m:num>
                <m:box>
                  <m:e>
                    <m:r>
                      <m:rPr>
                        <m:sty m:val="i"/>
                      </m:rPr>
                      <m:t>s</m:t>
                    </m:r>
                    <m:r>
                      <m:rPr>
                        <m:sty m:val="p"/>
                      </m:rPr>
                      <m:t>(</m:t>
                    </m:r>
                    <m:r>
                      <m:rPr>
                        <m:sty m:val="i"/>
                      </m:rPr>
                      <m:t>t</m:t>
                    </m:r>
                    <m:r>
                      <m:rPr>
                        <m:sty m:val="p"/>
                      </m:rPr>
                      <m:t>+</m:t>
                    </m:r>
                    <m:r>
                      <m:rPr>
                        <m:sty m:val="i"/>
                      </m:rPr>
                      <m:t>d</m:t>
                    </m:r>
                    <m:r>
                      <m:rPr>
                        <m:sty m:val="i"/>
                      </m:rPr>
                      <m:t>t</m:t>
                    </m:r>
                    <m:r>
                      <m:rPr>
                        <m:sty m:val="p"/>
                      </m:rPr>
                      <m:t>)</m:t>
                    </m:r>
                    <m:r>
                      <m:rPr>
                        <m:sty m:val="p"/>
                      </m:rPr>
                      <m:t>−</m:t>
                    </m:r>
                    <m:r>
                      <m:rPr>
                        <m:sty m:val="i"/>
                      </m:rPr>
                      <m:t>s</m:t>
                    </m:r>
                    <m:r>
                      <m:rPr>
                        <m:sty m:val="p"/>
                      </m:rPr>
                      <m:t>(</m:t>
                    </m:r>
                    <m:r>
                      <m:rPr>
                        <m:sty m:val="i"/>
                      </m:rPr>
                      <m:t>t</m:t>
                    </m:r>
                    <m:r>
                      <m:rPr>
                        <m:sty m:val="p"/>
                      </m:rPr>
                      <m:t>)</m:t>
                    </m:r>
                  </m:e>
                </m:box>
              </m:num>
              <m:den>
                <m:box>
                  <m:e>
                    <m:r>
                      <m:rPr>
                        <m:sty m:val="i"/>
                      </m:rPr>
                      <m:t>d</m:t>
                    </m:r>
                    <m:r>
                      <m:rPr>
                        <m:sty m:val="i"/>
                      </m:rPr>
                      <m:t>t</m:t>
                    </m:r>
                  </m:e>
                </m:box>
              </m:den>
            </m:f>
          </m:e>
        </m:box>
      </m:oMath>
    </w:p>
    <w:p>
      <w:pPr>
        <w:pStyle w:val="Caption"/>
        <w:jc w:val="center"/>
      </w:pPr>
      <w:r>
        <w:t>Equation 1: Definition of the derivative as the limit of the rate of change.</w:t>
      </w:r>
    </w:p>
    <w:p>
      <w:pPr>
        <w:pStyle w:val="Heading2"/>
        <w:jc w:val="center"/>
      </w:pPr>
      <w:r>
        <w:rPr>
          <w:rFonts w:ascii="Times New Roman" w:hAnsi="Times New Roman"/>
        </w:rPr>
        <w:t>The Gradient Descent Update Rule</w:t>
      </w:r>
    </w:p>
    <w:p>
      <w:pPr>
        <w:jc w:val="both"/>
      </w:pPr>
      <w:r>
        <w:rPr>
          <w:rFonts w:ascii="Times New Roman" w:hAnsi="Times New Roman"/>
          <w:b w:val="0"/>
          <w:i w:val="0"/>
          <w:sz w:val="24"/>
        </w:rPr>
        <w:t>The fundamental update rule for gradient descent is expressed as follows. At each iteration, parameters are updated by moving in the direction opposite to the gradient, scaled by a learning rate α. This learning rate controls the step size and is crucial for convergence.</w:t>
      </w:r>
    </w:p>
    <w:p>
      <m:oMath>
        <m:box>
          <m:e>
            <m:sSub>
              <m:e>
                <m:r>
                  <m:rPr>
                    <m:sty m:val="i"/>
                  </m:rPr>
                  <m:t>θ</m:t>
                </m:r>
              </m:e>
              <m:sub>
                <m:box>
                  <m:e>
                    <m:r>
                      <m:rPr>
                        <m:sty m:val="i"/>
                      </m:rPr>
                      <m:t>t</m:t>
                    </m:r>
                    <m:r>
                      <m:rPr>
                        <m:sty m:val="p"/>
                      </m:rPr>
                      <m:t>+</m:t>
                    </m:r>
                    <m:r>
                      <m:rPr>
                        <m:sty m:val="p"/>
                      </m:rPr>
                      <m:t>1</m:t>
                    </m:r>
                  </m:e>
                </m:box>
              </m:sub>
            </m:sSub>
            <m:r>
              <m:rPr>
                <m:sty m:val="p"/>
              </m:rPr>
              <m:t>=</m:t>
            </m:r>
            <m:sSub>
              <m:e>
                <m:r>
                  <m:rPr>
                    <m:sty m:val="i"/>
                  </m:rPr>
                  <m:t>θ</m:t>
                </m:r>
              </m:e>
              <m:sub>
                <m:r>
                  <m:rPr>
                    <m:sty m:val="i"/>
                  </m:rPr>
                  <m:t>t</m:t>
                </m:r>
              </m:sub>
            </m:sSub>
            <m:r>
              <m:rPr>
                <m:sty m:val="p"/>
              </m:rPr>
              <m:t>−</m:t>
            </m:r>
            <m:r>
              <m:rPr>
                <m:sty m:val="i"/>
              </m:rPr>
              <m:t>α</m:t>
            </m:r>
            <m:r>
              <m:rPr>
                <m:sty m:val="p"/>
              </m:rPr>
              <m:t>∇</m:t>
            </m:r>
            <m:r>
              <m:rPr>
                <m:sty m:val="i"/>
              </m:rPr>
              <m:t>J</m:t>
            </m:r>
            <m:r>
              <m:rPr>
                <m:sty m:val="p"/>
              </m:rPr>
              <m:t>(</m:t>
            </m:r>
            <m:sSub>
              <m:e>
                <m:r>
                  <m:rPr>
                    <m:sty m:val="i"/>
                  </m:rPr>
                  <m:t>θ</m:t>
                </m:r>
              </m:e>
              <m:sub>
                <m:r>
                  <m:rPr>
                    <m:sty m:val="i"/>
                  </m:rPr>
                  <m:t>t</m:t>
                </m:r>
              </m:sub>
            </m:sSub>
            <m:r>
              <m:rPr>
                <m:sty m:val="p"/>
              </m:rPr>
              <m:t>)</m:t>
            </m:r>
          </m:e>
        </m:box>
      </m:oMath>
    </w:p>
    <w:p>
      <w:pPr>
        <w:pStyle w:val="Caption"/>
        <w:jc w:val="center"/>
      </w:pPr>
      <w:r>
        <w:t>Equation 2: Gradient descent update rule where θ represents parameters, α is the learning rate, and ∇J is the gradient of the cost function.</w:t>
      </w:r>
    </w:p>
    <w:p>
      <w:pPr>
        <w:jc w:val="both"/>
      </w:pPr>
      <w:r>
        <w:rPr>
          <w:rFonts w:ascii="Times New Roman" w:hAnsi="Times New Roman"/>
          <w:b w:val="0"/>
          <w:i w:val="0"/>
          <w:sz w:val="24"/>
        </w:rPr>
        <w:t xml:space="preserve">In this equation, θ represents the parameters being optimized, J(θ) is the cost function, and α is the </w:t>
      </w:r>
      <w:r>
        <w:rPr>
          <w:rFonts w:ascii="Times New Roman" w:hAnsi="Times New Roman"/>
          <w:b/>
          <w:i w:val="0"/>
          <w:sz w:val="24"/>
        </w:rPr>
        <w:t>learning rate</w:t>
      </w:r>
      <w:r>
        <w:rPr>
          <w:rFonts w:ascii="Times New Roman" w:hAnsi="Times New Roman"/>
          <w:b w:val="0"/>
          <w:i w:val="0"/>
          <w:sz w:val="24"/>
        </w:rPr>
        <w:t>—a hyperparameter that determines how large each step should be. A learning rate that is too large may cause the algorithm to overshoot the minimum, while a learning rate that is too small will result in slow convergence.</w:t>
      </w:r>
    </w:p>
    <w:p>
      <w:pPr>
        <w:jc w:val="center"/>
      </w:pPr>
      <w:r>
        <w:drawing>
          <wp:inline xmlns:a="http://schemas.openxmlformats.org/drawingml/2006/main" xmlns:pic="http://schemas.openxmlformats.org/drawingml/2006/picture">
            <wp:extent cx="2286000" cy="1488928"/>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2286000" cy="1488928"/>
                    </a:xfrm>
                    <a:prstGeom prst="rect"/>
                  </pic:spPr>
                </pic:pic>
              </a:graphicData>
            </a:graphic>
          </wp:inline>
        </w:drawing>
      </w:r>
    </w:p>
    <w:p>
      <w:pPr>
        <w:pStyle w:val="Caption"/>
        <w:jc w:val="center"/>
      </w:pPr>
      <w:r>
        <w:t>Figure 3: Visualization of the gradient vector and its direction in parameter space.</w:t>
      </w:r>
    </w:p>
    <w:p>
      <w:pPr>
        <w:pStyle w:val="Heading1"/>
        <w:jc w:val="center"/>
      </w:pPr>
      <w:r>
        <w:rPr>
          <w:rFonts w:ascii="Times New Roman" w:hAnsi="Times New Roman"/>
        </w:rPr>
        <w:t>Types of Gradient Descent</w:t>
      </w:r>
    </w:p>
    <w:p>
      <w:pPr>
        <w:pStyle w:val="Heading2"/>
        <w:jc w:val="center"/>
      </w:pPr>
      <w:r>
        <w:rPr>
          <w:rFonts w:ascii="Times New Roman" w:hAnsi="Times New Roman"/>
        </w:rPr>
        <w:t>Batch Gradient Descent</w:t>
      </w:r>
    </w:p>
    <w:p>
      <w:pPr>
        <w:jc w:val="both"/>
      </w:pPr>
      <w:r>
        <w:rPr>
          <w:rFonts w:ascii="Times New Roman" w:hAnsi="Times New Roman"/>
          <w:b w:val="0"/>
          <w:i w:val="0"/>
          <w:sz w:val="24"/>
        </w:rPr>
      </w:r>
      <w:r>
        <w:rPr>
          <w:rFonts w:ascii="Times New Roman" w:hAnsi="Times New Roman"/>
          <w:b/>
          <w:i w:val="0"/>
          <w:sz w:val="24"/>
        </w:rPr>
        <w:t>Batch Gradient Descent</w:t>
      </w:r>
      <w:r>
        <w:rPr>
          <w:rFonts w:ascii="Times New Roman" w:hAnsi="Times New Roman"/>
          <w:b w:val="0"/>
          <w:i w:val="0"/>
          <w:sz w:val="24"/>
        </w:rPr>
        <w:t xml:space="preserve"> computes the gradient using the entire training dataset before updating the parameters. This approach provides a stable and accurate estimate of the gradient but can be computationally expensive for large datasets. The algorithm is guaranteed to converge to a local minimum for convex functions.</w:t>
      </w:r>
    </w:p>
    <w:p>
      <m:oMath>
        <m:box>
          <m:e>
            <m:r>
              <m:rPr>
                <m:sty m:val="i"/>
              </m:rPr>
              <m:t>J</m:t>
            </m:r>
            <m:r>
              <m:rPr>
                <m:sty m:val="p"/>
              </m:rPr>
              <m:t>(</m:t>
            </m:r>
            <m:r>
              <m:rPr>
                <m:sty m:val="i"/>
              </m:rPr>
              <m:t>θ</m:t>
            </m:r>
            <m:r>
              <m:rPr>
                <m:sty m:val="p"/>
              </m:rPr>
              <m:t>)</m:t>
            </m:r>
            <m:r>
              <m:rPr>
                <m:sty m:val="p"/>
              </m:rPr>
              <m:t>=</m:t>
            </m:r>
            <m:f>
              <m:num>
                <m:box>
                  <m:e>
                    <m:r>
                      <m:rPr>
                        <m:sty m:val="p"/>
                      </m:rPr>
                      <m:t>1</m:t>
                    </m:r>
                  </m:e>
                </m:box>
              </m:num>
              <m:den>
                <m:box>
                  <m:e>
                    <m:r>
                      <m:rPr>
                        <m:sty m:val="i"/>
                      </m:rPr>
                      <m:t>m</m:t>
                    </m:r>
                  </m:e>
                </m:box>
              </m:den>
            </m:f>
            <m:nary>
              <m:naryPr>
                <m:chr m:val="∑"/>
                <m:limLoc m:val="undOvr"/>
              </m:naryPr>
              <m:sub>
                <m:box>
                  <m:e>
                    <m:r>
                      <m:rPr>
                        <m:sty m:val="i"/>
                      </m:rPr>
                      <m:t>i</m:t>
                    </m:r>
                    <m:r>
                      <m:rPr>
                        <m:sty m:val="p"/>
                      </m:rPr>
                      <m:t>=</m:t>
                    </m:r>
                    <m:r>
                      <m:rPr>
                        <m:sty m:val="p"/>
                      </m:rPr>
                      <m:t>1</m:t>
                    </m:r>
                  </m:e>
                </m:box>
              </m:sub>
              <m:sup>
                <m:box>
                  <m:e>
                    <m:r>
                      <m:rPr>
                        <m:sty m:val="i"/>
                      </m:rPr>
                      <m:t>m</m:t>
                    </m:r>
                  </m:e>
                </m:box>
              </m:sup>
              <m:e>
                <m:r>
                  <m:rPr>
                    <m:sty m:val="i"/>
                  </m:rPr>
                  <m:t>L</m:t>
                </m:r>
                <m:r>
                  <m:rPr>
                    <m:sty m:val="p"/>
                  </m:rPr>
                  <m:t>(</m:t>
                </m:r>
                <m:sSub>
                  <m:e>
                    <m:r>
                      <m:rPr>
                        <m:sty m:val="i"/>
                      </m:rPr>
                      <m:t>h</m:t>
                    </m:r>
                  </m:e>
                  <m:sub>
                    <m:r>
                      <m:rPr>
                        <m:sty m:val="i"/>
                      </m:rPr>
                      <m:t>θ</m:t>
                    </m:r>
                  </m:sub>
                </m:sSub>
                <m:r>
                  <m:rPr>
                    <m:sty m:val="p"/>
                  </m:rPr>
                  <m:t>(</m:t>
                </m:r>
                <m:sSup>
                  <m:e>
                    <m:r>
                      <m:rPr>
                        <m:sty m:val="i"/>
                      </m:rPr>
                      <m:t>x</m:t>
                    </m:r>
                  </m:e>
                  <m:sup>
                    <m:box>
                      <m:e>
                        <m:r>
                          <m:rPr>
                            <m:sty m:val="p"/>
                          </m:rPr>
                          <m:t>(</m:t>
                        </m:r>
                        <m:r>
                          <m:rPr>
                            <m:sty m:val="i"/>
                          </m:rPr>
                          <m:t>i</m:t>
                        </m:r>
                        <m:r>
                          <m:rPr>
                            <m:sty m:val="p"/>
                          </m:rPr>
                          <m:t>)</m:t>
                        </m:r>
                      </m:e>
                    </m:box>
                  </m:sup>
                </m:sSup>
                <m:r>
                  <m:rPr>
                    <m:sty m:val="p"/>
                  </m:rPr>
                  <m:t>)</m:t>
                </m:r>
                <m:r>
                  <m:rPr>
                    <m:sty m:val="p"/>
                  </m:rPr>
                  <m:t>,</m:t>
                </m:r>
                <m:sSup>
                  <m:e>
                    <m:r>
                      <m:rPr>
                        <m:sty m:val="i"/>
                      </m:rPr>
                      <m:t>y</m:t>
                    </m:r>
                  </m:e>
                  <m:sup>
                    <m:box>
                      <m:e>
                        <m:r>
                          <m:rPr>
                            <m:sty m:val="p"/>
                          </m:rPr>
                          <m:t>(</m:t>
                        </m:r>
                        <m:r>
                          <m:rPr>
                            <m:sty m:val="i"/>
                          </m:rPr>
                          <m:t>i</m:t>
                        </m:r>
                        <m:r>
                          <m:rPr>
                            <m:sty m:val="p"/>
                          </m:rPr>
                          <m:t>)</m:t>
                        </m:r>
                      </m:e>
                    </m:box>
                  </m:sup>
                </m:sSup>
                <m:r>
                  <m:rPr>
                    <m:sty m:val="p"/>
                  </m:rPr>
                  <m:t>)</m:t>
                </m:r>
              </m:e>
            </m:nary>
          </m:e>
        </m:box>
      </m:oMath>
    </w:p>
    <w:p>
      <w:pPr>
        <w:pStyle w:val="Caption"/>
        <w:jc w:val="center"/>
      </w:pPr>
      <w:r>
        <w:t>Equation 3: Cost function for batch gradient descent, where m is the number of training samples.</w:t>
      </w:r>
    </w:p>
    <w:p>
      <w:pPr>
        <w:pStyle w:val="Heading2"/>
        <w:jc w:val="center"/>
      </w:pPr>
      <w:r>
        <w:rPr>
          <w:rFonts w:ascii="Times New Roman" w:hAnsi="Times New Roman"/>
        </w:rPr>
        <w:t>Stochastic Gradient Descent (SGD)</w:t>
      </w:r>
    </w:p>
    <w:p>
      <w:pPr>
        <w:jc w:val="both"/>
      </w:pPr>
      <w:r>
        <w:rPr>
          <w:rFonts w:ascii="Times New Roman" w:hAnsi="Times New Roman"/>
          <w:b w:val="0"/>
          <w:i w:val="0"/>
          <w:sz w:val="24"/>
        </w:rPr>
      </w:r>
      <w:r>
        <w:rPr>
          <w:rFonts w:ascii="Times New Roman" w:hAnsi="Times New Roman"/>
          <w:b/>
          <w:i w:val="0"/>
          <w:sz w:val="24"/>
        </w:rPr>
        <w:t>Stochastic Gradient Descent</w:t>
      </w:r>
      <w:r>
        <w:rPr>
          <w:rFonts w:ascii="Times New Roman" w:hAnsi="Times New Roman"/>
          <w:b w:val="0"/>
          <w:i w:val="0"/>
          <w:sz w:val="24"/>
        </w:rPr>
        <w:t xml:space="preserve"> updates parameters using the gradient computed from a single training example at each iteration. This approach is much faster than batch gradient descent and can escape local minima more easily due to its noisy updates. However, the convergence path is more erratic.</w:t>
      </w:r>
    </w:p>
    <w:p>
      <w:pPr>
        <w:jc w:val="center"/>
      </w:pPr>
      <w:r>
        <w:drawing>
          <wp:inline xmlns:a="http://schemas.openxmlformats.org/drawingml/2006/main" xmlns:pic="http://schemas.openxmlformats.org/drawingml/2006/picture">
            <wp:extent cx="2286000" cy="1868476"/>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2286000" cy="1868476"/>
                    </a:xfrm>
                    <a:prstGeom prst="rect"/>
                  </pic:spPr>
                </pic:pic>
              </a:graphicData>
            </a:graphic>
          </wp:inline>
        </w:drawing>
      </w:r>
    </w:p>
    <w:p>
      <w:pPr>
        <w:pStyle w:val="Caption"/>
        <w:jc w:val="center"/>
      </w:pPr>
      <w:r>
        <w:t>Figure 4: Comparison of batch gradient descent (left) and stochastic gradient descent (right) convergence paths.</w:t>
      </w:r>
    </w:p>
    <w:p>
      <w:pPr>
        <w:jc w:val="center"/>
      </w:pPr>
      <w:r>
        <w:drawing>
          <wp:inline xmlns:a="http://schemas.openxmlformats.org/drawingml/2006/main" xmlns:pic="http://schemas.openxmlformats.org/drawingml/2006/picture">
            <wp:extent cx="2286000" cy="1417222"/>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2286000" cy="1417222"/>
                    </a:xfrm>
                    <a:prstGeom prst="rect"/>
                  </pic:spPr>
                </pic:pic>
              </a:graphicData>
            </a:graphic>
          </wp:inline>
        </w:drawing>
      </w:r>
    </w:p>
    <w:p>
      <w:pPr>
        <w:pStyle w:val="Caption"/>
        <w:jc w:val="center"/>
      </w:pPr>
      <w:r>
        <w:t>Figure 5: Stochastic gradient descent showing noisy but faster convergence.</w:t>
      </w:r>
    </w:p>
    <w:p>
      <w:pPr>
        <w:pStyle w:val="Heading2"/>
        <w:jc w:val="center"/>
      </w:pPr>
      <w:r>
        <w:rPr>
          <w:rFonts w:ascii="Times New Roman" w:hAnsi="Times New Roman"/>
        </w:rPr>
        <w:t>Mini-Batch Gradient Descent</w:t>
      </w:r>
    </w:p>
    <w:p>
      <w:pPr>
        <w:jc w:val="both"/>
      </w:pPr>
      <w:r>
        <w:rPr>
          <w:rFonts w:ascii="Times New Roman" w:hAnsi="Times New Roman"/>
          <w:b w:val="0"/>
          <w:i w:val="0"/>
          <w:sz w:val="24"/>
        </w:rPr>
      </w:r>
      <w:r>
        <w:rPr>
          <w:rFonts w:ascii="Times New Roman" w:hAnsi="Times New Roman"/>
          <w:b/>
          <w:i w:val="0"/>
          <w:sz w:val="24"/>
        </w:rPr>
        <w:t>Mini-Batch Gradient Descent</w:t>
      </w:r>
      <w:r>
        <w:rPr>
          <w:rFonts w:ascii="Times New Roman" w:hAnsi="Times New Roman"/>
          <w:b w:val="0"/>
          <w:i w:val="0"/>
          <w:sz w:val="24"/>
        </w:rPr>
        <w:t xml:space="preserve"> strikes a balance between batch and stochastic approaches by computing the gradient on small subsets (mini-batches) of the training data. This method combines the stability of batch gradient descent with the computational efficiency of stochastic gradient descent, making it the most popular choice in practice.</w:t>
      </w:r>
    </w:p>
    <w:p>
      <w:pPr>
        <w:jc w:val="center"/>
      </w:pPr>
      <w:r>
        <w:drawing>
          <wp:inline xmlns:a="http://schemas.openxmlformats.org/drawingml/2006/main" xmlns:pic="http://schemas.openxmlformats.org/drawingml/2006/picture">
            <wp:extent cx="2286000" cy="1030682"/>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2286000" cy="1030682"/>
                    </a:xfrm>
                    <a:prstGeom prst="rect"/>
                  </pic:spPr>
                </pic:pic>
              </a:graphicData>
            </a:graphic>
          </wp:inline>
        </w:drawing>
      </w:r>
    </w:p>
    <w:p>
      <w:pPr>
        <w:pStyle w:val="Caption"/>
        <w:jc w:val="center"/>
      </w:pPr>
      <w:r>
        <w:t>Figure 6: Comparison of convergence paths for batch, mini-batch, and stochastic gradient descent.</w:t>
      </w:r>
    </w:p>
    <w:p>
      <w:pPr>
        <w:pStyle w:val="Heading2"/>
        <w:jc w:val="center"/>
      </w:pPr>
      <w:r>
        <w:rPr>
          <w:rFonts w:ascii="Times New Roman" w:hAnsi="Times New Roman"/>
        </w:rPr>
        <w:t>Comparison of Gradient Descent Variants</w:t>
      </w:r>
    </w:p>
    <w:p>
      <w:pPr>
        <w:pStyle w:val="Caption"/>
        <w:jc w:val="center"/>
      </w:pPr>
      <w:r>
        <w:t>Table 1: Comparison of different gradient descent variants.</w:t>
      </w:r>
    </w:p>
    <w:tbl>
      <w:tblPr>
        <w:tblStyle w:val="LightList-Accent1"/>
        <w:tblW w:type="auto" w:w="0"/>
        <w:tblLook w:firstColumn="1" w:firstRow="1" w:lastColumn="0" w:lastRow="0" w:noHBand="0" w:noVBand="1" w:val="04A0"/>
      </w:tblPr>
      <w:tblGrid>
        <w:gridCol w:w="1728"/>
        <w:gridCol w:w="1728"/>
        <w:gridCol w:w="1728"/>
        <w:gridCol w:w="1728"/>
        <w:gridCol w:w="1728"/>
      </w:tblGrid>
      <w:tr>
        <w:tc>
          <w:tcPr>
            <w:tcW w:type="dxa" w:w="1728"/>
          </w:tcPr>
          <w:p>
            <w:r>
              <w:rPr>
                <w:rFonts w:ascii="Times New Roman" w:hAnsi="Times New Roman"/>
              </w:rPr>
              <w:t>Variant</w:t>
            </w:r>
          </w:p>
        </w:tc>
        <w:tc>
          <w:tcPr>
            <w:tcW w:type="dxa" w:w="1728"/>
          </w:tcPr>
          <w:p>
            <w:r>
              <w:rPr>
                <w:rFonts w:ascii="Times New Roman" w:hAnsi="Times New Roman"/>
              </w:rPr>
              <w:t>Computation</w:t>
            </w:r>
          </w:p>
        </w:tc>
        <w:tc>
          <w:tcPr>
            <w:tcW w:type="dxa" w:w="1728"/>
          </w:tcPr>
          <w:p>
            <w:r>
              <w:rPr>
                <w:rFonts w:ascii="Times New Roman" w:hAnsi="Times New Roman"/>
              </w:rPr>
              <w:t>Speed</w:t>
            </w:r>
          </w:p>
        </w:tc>
        <w:tc>
          <w:tcPr>
            <w:tcW w:type="dxa" w:w="1728"/>
          </w:tcPr>
          <w:p>
            <w:r>
              <w:rPr>
                <w:rFonts w:ascii="Times New Roman" w:hAnsi="Times New Roman"/>
              </w:rPr>
              <w:t>Stability</w:t>
            </w:r>
          </w:p>
        </w:tc>
        <w:tc>
          <w:tcPr>
            <w:tcW w:type="dxa" w:w="1728"/>
          </w:tcPr>
          <w:p>
            <w:r>
              <w:rPr>
                <w:rFonts w:ascii="Times New Roman" w:hAnsi="Times New Roman"/>
              </w:rPr>
              <w:t>Memory</w:t>
            </w:r>
          </w:p>
        </w:tc>
      </w:tr>
      <w:tr>
        <w:tc>
          <w:tcPr>
            <w:tcW w:type="dxa" w:w="1728"/>
          </w:tcPr>
          <w:p>
            <w:r>
              <w:rPr>
                <w:rFonts w:ascii="Times New Roman" w:hAnsi="Times New Roman"/>
              </w:rPr>
              <w:t>Batch</w:t>
            </w:r>
          </w:p>
        </w:tc>
        <w:tc>
          <w:tcPr>
            <w:tcW w:type="dxa" w:w="1728"/>
          </w:tcPr>
          <w:p>
            <w:r>
              <w:rPr>
                <w:rFonts w:ascii="Times New Roman" w:hAnsi="Times New Roman"/>
              </w:rPr>
              <w:t>Entire dataset</w:t>
            </w:r>
          </w:p>
        </w:tc>
        <w:tc>
          <w:tcPr>
            <w:tcW w:type="dxa" w:w="1728"/>
          </w:tcPr>
          <w:p>
            <w:r>
              <w:rPr>
                <w:rFonts w:ascii="Times New Roman" w:hAnsi="Times New Roman"/>
              </w:rPr>
              <w:t>Slow</w:t>
            </w:r>
          </w:p>
        </w:tc>
        <w:tc>
          <w:tcPr>
            <w:tcW w:type="dxa" w:w="1728"/>
          </w:tcPr>
          <w:p>
            <w:r>
              <w:rPr>
                <w:rFonts w:ascii="Times New Roman" w:hAnsi="Times New Roman"/>
              </w:rPr>
              <w:t>Very stable</w:t>
            </w:r>
          </w:p>
        </w:tc>
        <w:tc>
          <w:tcPr>
            <w:tcW w:type="dxa" w:w="1728"/>
          </w:tcPr>
          <w:p>
            <w:r>
              <w:rPr>
                <w:rFonts w:ascii="Times New Roman" w:hAnsi="Times New Roman"/>
              </w:rPr>
              <w:t>High</w:t>
            </w:r>
          </w:p>
        </w:tc>
      </w:tr>
      <w:tr>
        <w:tc>
          <w:tcPr>
            <w:tcW w:type="dxa" w:w="1728"/>
          </w:tcPr>
          <w:p>
            <w:r>
              <w:rPr>
                <w:rFonts w:ascii="Times New Roman" w:hAnsi="Times New Roman"/>
              </w:rPr>
              <w:t>Stochastic</w:t>
            </w:r>
          </w:p>
        </w:tc>
        <w:tc>
          <w:tcPr>
            <w:tcW w:type="dxa" w:w="1728"/>
          </w:tcPr>
          <w:p>
            <w:r>
              <w:rPr>
                <w:rFonts w:ascii="Times New Roman" w:hAnsi="Times New Roman"/>
              </w:rPr>
              <w:t>Single sample</w:t>
            </w:r>
          </w:p>
        </w:tc>
        <w:tc>
          <w:tcPr>
            <w:tcW w:type="dxa" w:w="1728"/>
          </w:tcPr>
          <w:p>
            <w:r>
              <w:rPr>
                <w:rFonts w:ascii="Times New Roman" w:hAnsi="Times New Roman"/>
              </w:rPr>
              <w:t>Fast</w:t>
            </w:r>
          </w:p>
        </w:tc>
        <w:tc>
          <w:tcPr>
            <w:tcW w:type="dxa" w:w="1728"/>
          </w:tcPr>
          <w:p>
            <w:r>
              <w:rPr>
                <w:rFonts w:ascii="Times New Roman" w:hAnsi="Times New Roman"/>
              </w:rPr>
              <w:t>Unstable</w:t>
            </w:r>
          </w:p>
        </w:tc>
        <w:tc>
          <w:tcPr>
            <w:tcW w:type="dxa" w:w="1728"/>
          </w:tcPr>
          <w:p>
            <w:r>
              <w:rPr>
                <w:rFonts w:ascii="Times New Roman" w:hAnsi="Times New Roman"/>
              </w:rPr>
              <w:t>Low</w:t>
            </w:r>
          </w:p>
        </w:tc>
      </w:tr>
      <w:tr>
        <w:tc>
          <w:tcPr>
            <w:tcW w:type="dxa" w:w="1728"/>
          </w:tcPr>
          <w:p>
            <w:r>
              <w:rPr>
                <w:rFonts w:ascii="Times New Roman" w:hAnsi="Times New Roman"/>
              </w:rPr>
              <w:t>Mini-Batch</w:t>
            </w:r>
          </w:p>
        </w:tc>
        <w:tc>
          <w:tcPr>
            <w:tcW w:type="dxa" w:w="1728"/>
          </w:tcPr>
          <w:p>
            <w:r>
              <w:rPr>
                <w:rFonts w:ascii="Times New Roman" w:hAnsi="Times New Roman"/>
              </w:rPr>
              <w:t>Small subset</w:t>
            </w:r>
          </w:p>
        </w:tc>
        <w:tc>
          <w:tcPr>
            <w:tcW w:type="dxa" w:w="1728"/>
          </w:tcPr>
          <w:p>
            <w:r>
              <w:rPr>
                <w:rFonts w:ascii="Times New Roman" w:hAnsi="Times New Roman"/>
              </w:rPr>
              <w:t>Moderate</w:t>
            </w:r>
          </w:p>
        </w:tc>
        <w:tc>
          <w:tcPr>
            <w:tcW w:type="dxa" w:w="1728"/>
          </w:tcPr>
          <w:p>
            <w:r>
              <w:rPr>
                <w:rFonts w:ascii="Times New Roman" w:hAnsi="Times New Roman"/>
              </w:rPr>
              <w:t>Stable</w:t>
            </w:r>
          </w:p>
        </w:tc>
        <w:tc>
          <w:tcPr>
            <w:tcW w:type="dxa" w:w="1728"/>
          </w:tcPr>
          <w:p>
            <w:r>
              <w:rPr>
                <w:rFonts w:ascii="Times New Roman" w:hAnsi="Times New Roman"/>
              </w:rPr>
              <w:t>Moderate</w:t>
            </w:r>
          </w:p>
        </w:tc>
      </w:tr>
    </w:tbl>
    <w:p>
      <w:pPr>
        <w:pStyle w:val="Heading1"/>
        <w:jc w:val="center"/>
      </w:pPr>
      <w:r>
        <w:rPr>
          <w:rFonts w:ascii="Times New Roman" w:hAnsi="Times New Roman"/>
        </w:rPr>
        <w:t>Learning Rate and Convergence</w:t>
      </w:r>
    </w:p>
    <w:p>
      <w:pPr>
        <w:jc w:val="both"/>
      </w:pPr>
      <w:r>
        <w:rPr>
          <w:rFonts w:ascii="Times New Roman" w:hAnsi="Times New Roman"/>
          <w:b w:val="0"/>
          <w:i w:val="0"/>
          <w:sz w:val="24"/>
        </w:rPr>
        <w:t xml:space="preserve">The </w:t>
      </w:r>
      <w:r>
        <w:rPr>
          <w:rFonts w:ascii="Times New Roman" w:hAnsi="Times New Roman"/>
          <w:b/>
          <w:i w:val="0"/>
          <w:sz w:val="24"/>
        </w:rPr>
        <w:t>learning rate</w:t>
      </w:r>
      <w:r>
        <w:rPr>
          <w:rFonts w:ascii="Times New Roman" w:hAnsi="Times New Roman"/>
          <w:b w:val="0"/>
          <w:i w:val="0"/>
          <w:sz w:val="24"/>
        </w:rPr>
        <w:t xml:space="preserve"> α is one of the most important hyperparameters in gradient descent. It controls the size of the steps taken toward the minimum. The choice of learning rate significantly affects the convergence behavior and final performance of the algorithm.</w:t>
      </w:r>
    </w:p>
    <w:p>
      <w:pPr>
        <w:jc w:val="center"/>
      </w:pPr>
      <w:r>
        <w:drawing>
          <wp:inline xmlns:a="http://schemas.openxmlformats.org/drawingml/2006/main" xmlns:pic="http://schemas.openxmlformats.org/drawingml/2006/picture">
            <wp:extent cx="2286000" cy="972024"/>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2286000" cy="972024"/>
                    </a:xfrm>
                    <a:prstGeom prst="rect"/>
                  </pic:spPr>
                </pic:pic>
              </a:graphicData>
            </a:graphic>
          </wp:inline>
        </w:drawing>
      </w:r>
    </w:p>
    <w:p>
      <w:pPr>
        <w:pStyle w:val="Caption"/>
        <w:jc w:val="center"/>
      </w:pPr>
      <w:r>
        <w:t>Figure 7: Effect of learning rate on convergence behavior and optimization path.</w:t>
      </w:r>
    </w:p>
    <w:p>
      <w:pPr>
        <w:pStyle w:val="Heading2"/>
        <w:jc w:val="center"/>
      </w:pPr>
      <w:r>
        <w:rPr>
          <w:rFonts w:ascii="Times New Roman" w:hAnsi="Times New Roman"/>
        </w:rPr>
        <w:t>Challenges and Pitfalls</w:t>
      </w:r>
    </w:p>
    <w:p>
      <w:pPr>
        <w:jc w:val="both"/>
      </w:pPr>
      <w:r>
        <w:rPr>
          <w:rFonts w:ascii="Times New Roman" w:hAnsi="Times New Roman"/>
          <w:b w:val="0"/>
          <w:i w:val="0"/>
          <w:sz w:val="24"/>
        </w:rPr>
        <w:t xml:space="preserve">Gradient descent faces several challenges in practice. </w:t>
      </w:r>
      <w:r>
        <w:rPr>
          <w:rFonts w:ascii="Times New Roman" w:hAnsi="Times New Roman"/>
          <w:b/>
          <w:i w:val="0"/>
          <w:sz w:val="24"/>
        </w:rPr>
        <w:t>Local minima</w:t>
      </w:r>
      <w:r>
        <w:rPr>
          <w:rFonts w:ascii="Times New Roman" w:hAnsi="Times New Roman"/>
          <w:b w:val="0"/>
          <w:i w:val="0"/>
          <w:sz w:val="24"/>
        </w:rPr>
        <w:t xml:space="preserve"> occur when the algorithm converges to a point that is not the global minimum. </w:t>
      </w:r>
      <w:r>
        <w:rPr>
          <w:rFonts w:ascii="Times New Roman" w:hAnsi="Times New Roman"/>
          <w:b/>
          <w:i w:val="0"/>
          <w:sz w:val="24"/>
        </w:rPr>
        <w:t>Plateaus</w:t>
      </w:r>
      <w:r>
        <w:rPr>
          <w:rFonts w:ascii="Times New Roman" w:hAnsi="Times New Roman"/>
          <w:b w:val="0"/>
          <w:i w:val="0"/>
          <w:sz w:val="24"/>
        </w:rPr>
        <w:t xml:space="preserve"> are regions where the gradient is very small, causing slow convergence. </w:t>
      </w:r>
      <w:r>
        <w:rPr>
          <w:rFonts w:ascii="Times New Roman" w:hAnsi="Times New Roman"/>
          <w:b/>
          <w:i w:val="0"/>
          <w:sz w:val="24"/>
        </w:rPr>
        <w:t>Saddle points</w:t>
      </w:r>
      <w:r>
        <w:rPr>
          <w:rFonts w:ascii="Times New Roman" w:hAnsi="Times New Roman"/>
          <w:b w:val="0"/>
          <w:i w:val="0"/>
          <w:sz w:val="24"/>
        </w:rPr>
        <w:t xml:space="preserve"> are critical points where the gradient is zero but the point is neither a minimum nor a maximum.</w:t>
      </w:r>
    </w:p>
    <w:p>
      <w:pPr>
        <w:jc w:val="center"/>
      </w:pPr>
      <w:r>
        <w:drawing>
          <wp:inline xmlns:a="http://schemas.openxmlformats.org/drawingml/2006/main" xmlns:pic="http://schemas.openxmlformats.org/drawingml/2006/picture">
            <wp:extent cx="2286000" cy="1113849"/>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2286000" cy="1113849"/>
                    </a:xfrm>
                    <a:prstGeom prst="rect"/>
                  </pic:spPr>
                </pic:pic>
              </a:graphicData>
            </a:graphic>
          </wp:inline>
        </w:drawing>
      </w:r>
    </w:p>
    <w:p>
      <w:pPr>
        <w:pStyle w:val="Caption"/>
        <w:jc w:val="center"/>
      </w:pPr>
      <w:r>
        <w:t>Figure 8: Visualization of local minima, plateaus, and saddle points in optimization landscapes.</w:t>
      </w:r>
    </w:p>
    <w:p>
      <w:pPr>
        <w:jc w:val="center"/>
      </w:pPr>
      <w:r>
        <w:drawing>
          <wp:inline xmlns:a="http://schemas.openxmlformats.org/drawingml/2006/main" xmlns:pic="http://schemas.openxmlformats.org/drawingml/2006/picture">
            <wp:extent cx="2286000" cy="1101646"/>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2286000" cy="1101646"/>
                    </a:xfrm>
                    <a:prstGeom prst="rect"/>
                  </pic:spPr>
                </pic:pic>
              </a:graphicData>
            </a:graphic>
          </wp:inline>
        </w:drawing>
      </w:r>
    </w:p>
    <w:p>
      <w:pPr>
        <w:pStyle w:val="Caption"/>
        <w:jc w:val="center"/>
      </w:pPr>
      <w:r>
        <w:t>Figure 9: Common pitfalls in gradient descent optimization.</w:t>
      </w:r>
    </w:p>
    <w:p>
      <w:pPr>
        <w:pStyle w:val="Heading1"/>
        <w:jc w:val="center"/>
      </w:pPr>
      <w:r>
        <w:rPr>
          <w:rFonts w:ascii="Times New Roman" w:hAnsi="Times New Roman"/>
        </w:rPr>
        <w:t>Multivariable Functions and Partial Derivatives</w:t>
      </w:r>
    </w:p>
    <w:p>
      <w:pPr>
        <w:jc w:val="both"/>
      </w:pPr>
      <w:r>
        <w:rPr>
          <w:rFonts w:ascii="Times New Roman" w:hAnsi="Times New Roman"/>
          <w:b w:val="0"/>
          <w:i w:val="0"/>
          <w:sz w:val="24"/>
        </w:rPr>
        <w:t xml:space="preserve">When optimizing functions of multiple variables, we use </w:t>
      </w:r>
      <w:r>
        <w:rPr>
          <w:rFonts w:ascii="Times New Roman" w:hAnsi="Times New Roman"/>
          <w:b/>
          <w:i w:val="0"/>
          <w:sz w:val="24"/>
        </w:rPr>
        <w:t>partial derivatives</w:t>
      </w:r>
      <w:r>
        <w:rPr>
          <w:rFonts w:ascii="Times New Roman" w:hAnsi="Times New Roman"/>
          <w:b w:val="0"/>
          <w:i w:val="0"/>
          <w:sz w:val="24"/>
        </w:rPr>
        <w:t xml:space="preserve"> to compute the gradient. The gradient is a vector containing all partial derivatives, indicating the direction of steepest ascent in the multidimensional space.</w:t>
      </w:r>
    </w:p>
    <w:p>
      <w:pPr>
        <w:jc w:val="center"/>
      </w:pPr>
      <w:r>
        <w:drawing>
          <wp:inline xmlns:a="http://schemas.openxmlformats.org/drawingml/2006/main" xmlns:pic="http://schemas.openxmlformats.org/drawingml/2006/picture">
            <wp:extent cx="2286000" cy="672166"/>
            <wp:docPr id="10" name="Pict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2286000" cy="672166"/>
                    </a:xfrm>
                    <a:prstGeom prst="rect"/>
                  </pic:spPr>
                </pic:pic>
              </a:graphicData>
            </a:graphic>
          </wp:inline>
        </w:drawing>
      </w:r>
    </w:p>
    <w:p>
      <w:pPr>
        <w:pStyle w:val="Caption"/>
        <w:jc w:val="center"/>
      </w:pPr>
      <w:r>
        <w:t>Figure 10: Gradient descent in two-dimensional parameter space showing convergence to the minimum.</w:t>
      </w:r>
    </w:p>
    <w:p>
      <w:pPr>
        <w:jc w:val="center"/>
      </w:pPr>
      <w:r>
        <w:drawing>
          <wp:inline xmlns:a="http://schemas.openxmlformats.org/drawingml/2006/main" xmlns:pic="http://schemas.openxmlformats.org/drawingml/2006/picture">
            <wp:extent cx="2286000" cy="1839951"/>
            <wp:docPr id="11" name="Picture 1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2286000" cy="1839951"/>
                    </a:xfrm>
                    <a:prstGeom prst="rect"/>
                  </pic:spPr>
                </pic:pic>
              </a:graphicData>
            </a:graphic>
          </wp:inline>
        </w:drawing>
      </w:r>
    </w:p>
    <w:p>
      <w:pPr>
        <w:pStyle w:val="Caption"/>
        <w:jc w:val="center"/>
      </w:pPr>
      <w:r>
        <w:t>Figure 11: Three-dimensional visualization of a multivariable function and its domain.</w:t>
      </w:r>
    </w:p>
    <w:p>
      <m:oMath>
        <m:box>
          <m:e>
            <m:r>
              <m:rPr>
                <m:sty m:val="p"/>
              </m:rPr>
              <m:t>∇</m:t>
            </m:r>
            <m:r>
              <m:rPr>
                <m:sty m:val="i"/>
              </m:rPr>
              <m:t>f</m:t>
            </m:r>
            <m:r>
              <m:rPr>
                <m:sty m:val="p"/>
              </m:rPr>
              <m:t>(</m:t>
            </m:r>
            <m:r>
              <m:rPr>
                <m:sty m:val="i"/>
              </m:rPr>
              <m:t>x</m:t>
            </m:r>
            <m:r>
              <m:rPr>
                <m:sty m:val="p"/>
              </m:rPr>
              <m:t>,</m:t>
            </m:r>
            <m:r>
              <m:rPr>
                <m:sty m:val="i"/>
              </m:rPr>
              <m:t>y</m:t>
            </m:r>
            <m:r>
              <m:rPr>
                <m:sty m:val="p"/>
              </m:rPr>
              <m:t>)</m:t>
            </m:r>
            <m:r>
              <m:rPr>
                <m:sty m:val="p"/>
              </m:rPr>
              <m:t>=</m:t>
            </m:r>
            <m:box>
              <m:e>
                <m:d>
                  <m:dPr>
                    <m:begChr m:val="("/>
                    <m:endChr m:val=")"/>
                  </m:dPr>
                  <m:e>
                    <m:box>
                      <m:e>
                        <m:f>
                          <m:num>
                            <m:box>
                              <m:e>
                                <m:r>
                                  <m:rPr>
                                    <m:sty m:val="p"/>
                                  </m:rPr>
                                  <m:t>∂</m:t>
                                </m:r>
                                <m:r>
                                  <m:rPr>
                                    <m:sty m:val="i"/>
                                  </m:rPr>
                                  <m:t>f</m:t>
                                </m:r>
                              </m:e>
                            </m:box>
                          </m:num>
                          <m:den>
                            <m:box>
                              <m:e>
                                <m:r>
                                  <m:rPr>
                                    <m:sty m:val="p"/>
                                  </m:rPr>
                                  <m:t>∂</m:t>
                                </m:r>
                                <m:r>
                                  <m:rPr>
                                    <m:sty m:val="i"/>
                                  </m:rPr>
                                  <m:t>x</m:t>
                                </m:r>
                              </m:e>
                            </m:box>
                          </m:den>
                        </m:f>
                        <m:r>
                          <m:rPr>
                            <m:sty m:val="p"/>
                          </m:rPr>
                          <m:t>,</m:t>
                        </m:r>
                        <m:f>
                          <m:num>
                            <m:box>
                              <m:e>
                                <m:r>
                                  <m:rPr>
                                    <m:sty m:val="p"/>
                                  </m:rPr>
                                  <m:t>∂</m:t>
                                </m:r>
                                <m:r>
                                  <m:rPr>
                                    <m:sty m:val="i"/>
                                  </m:rPr>
                                  <m:t>f</m:t>
                                </m:r>
                              </m:e>
                            </m:box>
                          </m:num>
                          <m:den>
                            <m:box>
                              <m:e>
                                <m:r>
                                  <m:rPr>
                                    <m:sty m:val="p"/>
                                  </m:rPr>
                                  <m:t>∂</m:t>
                                </m:r>
                                <m:r>
                                  <m:rPr>
                                    <m:sty m:val="i"/>
                                  </m:rPr>
                                  <m:t>y</m:t>
                                </m:r>
                              </m:e>
                            </m:box>
                          </m:den>
                        </m:f>
                      </m:e>
                    </m:box>
                  </m:e>
                </m:d>
              </m:e>
            </m:box>
          </m:e>
        </m:box>
      </m:oMath>
    </w:p>
    <w:p>
      <w:pPr>
        <w:pStyle w:val="Caption"/>
        <w:jc w:val="center"/>
      </w:pPr>
      <w:r>
        <w:t>Equation 4: Gradient vector for a two-variable function.</w:t>
      </w:r>
    </w:p>
    <w:p>
      <w:pPr>
        <w:pStyle w:val="Heading1"/>
        <w:jc w:val="center"/>
      </w:pPr>
      <w:r>
        <w:rPr>
          <w:rFonts w:ascii="Times New Roman" w:hAnsi="Times New Roman"/>
        </w:rPr>
        <w:t>Calculus Concepts Supporting Gradient Descent</w:t>
      </w:r>
    </w:p>
    <w:p>
      <w:pPr>
        <w:jc w:val="both"/>
      </w:pPr>
      <w:r>
        <w:rPr>
          <w:rFonts w:ascii="Times New Roman" w:hAnsi="Times New Roman"/>
          <w:b w:val="0"/>
          <w:i w:val="0"/>
          <w:sz w:val="24"/>
        </w:rPr>
        <w:t xml:space="preserve">Understanding gradient descent requires knowledge of several calculus concepts. </w:t>
      </w:r>
      <w:r>
        <w:rPr>
          <w:rFonts w:ascii="Times New Roman" w:hAnsi="Times New Roman"/>
          <w:b/>
          <w:i w:val="0"/>
          <w:sz w:val="24"/>
        </w:rPr>
        <w:t>Integration</w:t>
      </w:r>
      <w:r>
        <w:rPr>
          <w:rFonts w:ascii="Times New Roman" w:hAnsi="Times New Roman"/>
          <w:b w:val="0"/>
          <w:i w:val="0"/>
          <w:sz w:val="24"/>
        </w:rPr>
        <w:t xml:space="preserve"> represents the accumulation of quantities, while </w:t>
      </w:r>
      <w:r>
        <w:rPr>
          <w:rFonts w:ascii="Times New Roman" w:hAnsi="Times New Roman"/>
          <w:b/>
          <w:i w:val="0"/>
          <w:sz w:val="24"/>
        </w:rPr>
        <w:t>derivatives</w:t>
      </w:r>
      <w:r>
        <w:rPr>
          <w:rFonts w:ascii="Times New Roman" w:hAnsi="Times New Roman"/>
          <w:b w:val="0"/>
          <w:i w:val="0"/>
          <w:sz w:val="24"/>
        </w:rPr>
        <w:t xml:space="preserve"> represent rates of change. The </w:t>
      </w:r>
      <w:r>
        <w:rPr>
          <w:rFonts w:ascii="Times New Roman" w:hAnsi="Times New Roman"/>
          <w:b/>
          <w:i w:val="0"/>
          <w:sz w:val="24"/>
        </w:rPr>
        <w:t>first derivative test</w:t>
      </w:r>
      <w:r>
        <w:rPr>
          <w:rFonts w:ascii="Times New Roman" w:hAnsi="Times New Roman"/>
          <w:b w:val="0"/>
          <w:i w:val="0"/>
          <w:sz w:val="24"/>
        </w:rPr>
        <w:t xml:space="preserve"> helps identify local extrema by examining where the derivative equals zero.</w:t>
      </w:r>
    </w:p>
    <w:p>
      <w:pPr>
        <w:jc w:val="center"/>
      </w:pPr>
      <w:r>
        <w:drawing>
          <wp:inline xmlns:a="http://schemas.openxmlformats.org/drawingml/2006/main" xmlns:pic="http://schemas.openxmlformats.org/drawingml/2006/picture">
            <wp:extent cx="2286000" cy="1268110"/>
            <wp:docPr id="12" name="Picture 12"/>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2286000" cy="1268110"/>
                    </a:xfrm>
                    <a:prstGeom prst="rect"/>
                  </pic:spPr>
                </pic:pic>
              </a:graphicData>
            </a:graphic>
          </wp:inline>
        </w:drawing>
      </w:r>
    </w:p>
    <w:p>
      <w:pPr>
        <w:pStyle w:val="Caption"/>
        <w:jc w:val="center"/>
      </w:pPr>
      <w:r>
        <w:t>Figure 12: Integration concept showing area under a curve.</w:t>
      </w:r>
    </w:p>
    <w:p>
      <w:pPr>
        <w:jc w:val="center"/>
      </w:pPr>
      <w:r>
        <w:drawing>
          <wp:inline xmlns:a="http://schemas.openxmlformats.org/drawingml/2006/main" xmlns:pic="http://schemas.openxmlformats.org/drawingml/2006/picture">
            <wp:extent cx="2286000" cy="1176790"/>
            <wp:docPr id="13" name="Picture 13"/>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2286000" cy="1176790"/>
                    </a:xfrm>
                    <a:prstGeom prst="rect"/>
                  </pic:spPr>
                </pic:pic>
              </a:graphicData>
            </a:graphic>
          </wp:inline>
        </w:drawing>
      </w:r>
    </w:p>
    <w:p>
      <w:pPr>
        <w:pStyle w:val="Caption"/>
        <w:jc w:val="center"/>
      </w:pPr>
      <w:r>
        <w:t>Figure 13: First derivative test for identifying critical points and extrema.</w:t>
      </w:r>
    </w:p>
    <w:p>
      <w:pPr>
        <w:jc w:val="center"/>
      </w:pPr>
      <w:r>
        <w:drawing>
          <wp:inline xmlns:a="http://schemas.openxmlformats.org/drawingml/2006/main" xmlns:pic="http://schemas.openxmlformats.org/drawingml/2006/picture">
            <wp:extent cx="2286000" cy="841136"/>
            <wp:docPr id="14" name="Picture 14"/>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2286000" cy="841136"/>
                    </a:xfrm>
                    <a:prstGeom prst="rect"/>
                  </pic:spPr>
                </pic:pic>
              </a:graphicData>
            </a:graphic>
          </wp:inline>
        </w:drawing>
      </w:r>
    </w:p>
    <w:p>
      <w:pPr>
        <w:pStyle w:val="Caption"/>
        <w:jc w:val="center"/>
      </w:pPr>
      <w:r>
        <w:t>Figure 14: Comprehensive visualization of functions, derivatives, and critical points.</w:t>
      </w:r>
    </w:p>
    <w:p>
      <w:pPr>
        <w:pStyle w:val="Heading1"/>
        <w:jc w:val="center"/>
      </w:pPr>
      <w:r>
        <w:rPr>
          <w:rFonts w:ascii="Times New Roman" w:hAnsi="Times New Roman"/>
        </w:rPr>
        <w:t>Practical Implementation Considerations</w:t>
      </w:r>
    </w:p>
    <w:p>
      <w:pPr>
        <w:jc w:val="both"/>
      </w:pPr>
      <w:r>
        <w:rPr>
          <w:rFonts w:ascii="Times New Roman" w:hAnsi="Times New Roman"/>
          <w:b w:val="0"/>
          <w:i w:val="0"/>
          <w:sz w:val="24"/>
        </w:rPr>
        <w:t xml:space="preserve">When implementing gradient descent in practice, several factors must be considered. </w:t>
      </w:r>
      <w:r>
        <w:rPr>
          <w:rFonts w:ascii="Times New Roman" w:hAnsi="Times New Roman"/>
          <w:b/>
          <w:i w:val="0"/>
          <w:sz w:val="24"/>
        </w:rPr>
        <w:t>Feature scaling</w:t>
      </w:r>
      <w:r>
        <w:rPr>
          <w:rFonts w:ascii="Times New Roman" w:hAnsi="Times New Roman"/>
          <w:b w:val="0"/>
          <w:i w:val="0"/>
          <w:sz w:val="24"/>
        </w:rPr>
        <w:t xml:space="preserve"> ensures that all features contribute equally to the gradient computation. </w:t>
      </w:r>
      <w:r>
        <w:rPr>
          <w:rFonts w:ascii="Times New Roman" w:hAnsi="Times New Roman"/>
          <w:b/>
          <w:i w:val="0"/>
          <w:sz w:val="24"/>
        </w:rPr>
        <w:t>Convergence criteria</w:t>
      </w:r>
      <w:r>
        <w:rPr>
          <w:rFonts w:ascii="Times New Roman" w:hAnsi="Times New Roman"/>
          <w:b w:val="0"/>
          <w:i w:val="0"/>
          <w:sz w:val="24"/>
        </w:rPr>
        <w:t xml:space="preserve"> determine when to stop the algorithm. </w:t>
      </w:r>
      <w:r>
        <w:rPr>
          <w:rFonts w:ascii="Times New Roman" w:hAnsi="Times New Roman"/>
          <w:b/>
          <w:i w:val="0"/>
          <w:sz w:val="24"/>
        </w:rPr>
        <w:t>Hyperparameter tuning</w:t>
      </w:r>
      <w:r>
        <w:rPr>
          <w:rFonts w:ascii="Times New Roman" w:hAnsi="Times New Roman"/>
          <w:b w:val="0"/>
          <w:i w:val="0"/>
          <w:sz w:val="24"/>
        </w:rPr>
        <w:t xml:space="preserve"> of the learning rate and batch size significantly impacts performance.</w:t>
      </w:r>
    </w:p>
    <w:p>
      <w:pPr>
        <w:pStyle w:val="Caption"/>
        <w:jc w:val="center"/>
      </w:pPr>
      <w:r>
        <w:t>Table 2: Practical considerations and solutions in gradient descent implementation.</w:t>
      </w:r>
    </w:p>
    <w:tbl>
      <w:tblPr>
        <w:tblStyle w:val="LightList-Accent1"/>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rPr>
              <w:t>Consideration</w:t>
            </w:r>
          </w:p>
        </w:tc>
        <w:tc>
          <w:tcPr>
            <w:tcW w:type="dxa" w:w="2880"/>
          </w:tcPr>
          <w:p>
            <w:r>
              <w:rPr>
                <w:rFonts w:ascii="Times New Roman" w:hAnsi="Times New Roman"/>
              </w:rPr>
              <w:t>Impact</w:t>
            </w:r>
          </w:p>
        </w:tc>
        <w:tc>
          <w:tcPr>
            <w:tcW w:type="dxa" w:w="2880"/>
          </w:tcPr>
          <w:p>
            <w:r>
              <w:rPr>
                <w:rFonts w:ascii="Times New Roman" w:hAnsi="Times New Roman"/>
              </w:rPr>
              <w:t>Solution</w:t>
            </w:r>
          </w:p>
        </w:tc>
      </w:tr>
      <w:tr>
        <w:tc>
          <w:tcPr>
            <w:tcW w:type="dxa" w:w="2880"/>
          </w:tcPr>
          <w:p>
            <w:r>
              <w:rPr>
                <w:rFonts w:ascii="Times New Roman" w:hAnsi="Times New Roman"/>
              </w:rPr>
              <w:t>Learning rate too high</w:t>
            </w:r>
          </w:p>
        </w:tc>
        <w:tc>
          <w:tcPr>
            <w:tcW w:type="dxa" w:w="2880"/>
          </w:tcPr>
          <w:p>
            <w:r>
              <w:rPr>
                <w:rFonts w:ascii="Times New Roman" w:hAnsi="Times New Roman"/>
              </w:rPr>
              <w:t>Divergence or oscillation</w:t>
            </w:r>
          </w:p>
        </w:tc>
        <w:tc>
          <w:tcPr>
            <w:tcW w:type="dxa" w:w="2880"/>
          </w:tcPr>
          <w:p>
            <w:r>
              <w:rPr>
                <w:rFonts w:ascii="Times New Roman" w:hAnsi="Times New Roman"/>
              </w:rPr>
              <w:t>Reduce learning rate or use adaptive methods</w:t>
            </w:r>
          </w:p>
        </w:tc>
      </w:tr>
      <w:tr>
        <w:tc>
          <w:tcPr>
            <w:tcW w:type="dxa" w:w="2880"/>
          </w:tcPr>
          <w:p>
            <w:r>
              <w:rPr>
                <w:rFonts w:ascii="Times New Roman" w:hAnsi="Times New Roman"/>
              </w:rPr>
              <w:t>Learning rate too low</w:t>
            </w:r>
          </w:p>
        </w:tc>
        <w:tc>
          <w:tcPr>
            <w:tcW w:type="dxa" w:w="2880"/>
          </w:tcPr>
          <w:p>
            <w:r>
              <w:rPr>
                <w:rFonts w:ascii="Times New Roman" w:hAnsi="Times New Roman"/>
              </w:rPr>
              <w:t>Slow convergence</w:t>
            </w:r>
          </w:p>
        </w:tc>
        <w:tc>
          <w:tcPr>
            <w:tcW w:type="dxa" w:w="2880"/>
          </w:tcPr>
          <w:p>
            <w:r>
              <w:rPr>
                <w:rFonts w:ascii="Times New Roman" w:hAnsi="Times New Roman"/>
              </w:rPr>
              <w:t>Increase learning rate or use adaptive methods</w:t>
            </w:r>
          </w:p>
        </w:tc>
      </w:tr>
      <w:tr>
        <w:tc>
          <w:tcPr>
            <w:tcW w:type="dxa" w:w="2880"/>
          </w:tcPr>
          <w:p>
            <w:r>
              <w:rPr>
                <w:rFonts w:ascii="Times New Roman" w:hAnsi="Times New Roman"/>
              </w:rPr>
              <w:t>Unscaled features</w:t>
            </w:r>
          </w:p>
        </w:tc>
        <w:tc>
          <w:tcPr>
            <w:tcW w:type="dxa" w:w="2880"/>
          </w:tcPr>
          <w:p>
            <w:r>
              <w:rPr>
                <w:rFonts w:ascii="Times New Roman" w:hAnsi="Times New Roman"/>
              </w:rPr>
              <w:t>Biased gradients</w:t>
            </w:r>
          </w:p>
        </w:tc>
        <w:tc>
          <w:tcPr>
            <w:tcW w:type="dxa" w:w="2880"/>
          </w:tcPr>
          <w:p>
            <w:r>
              <w:rPr>
                <w:rFonts w:ascii="Times New Roman" w:hAnsi="Times New Roman"/>
              </w:rPr>
              <w:t>Normalize or standardize features</w:t>
            </w:r>
          </w:p>
        </w:tc>
      </w:tr>
      <w:tr>
        <w:tc>
          <w:tcPr>
            <w:tcW w:type="dxa" w:w="2880"/>
          </w:tcPr>
          <w:p>
            <w:r>
              <w:rPr>
                <w:rFonts w:ascii="Times New Roman" w:hAnsi="Times New Roman"/>
              </w:rPr>
              <w:t>Large batch size</w:t>
            </w:r>
          </w:p>
        </w:tc>
        <w:tc>
          <w:tcPr>
            <w:tcW w:type="dxa" w:w="2880"/>
          </w:tcPr>
          <w:p>
            <w:r>
              <w:rPr>
                <w:rFonts w:ascii="Times New Roman" w:hAnsi="Times New Roman"/>
              </w:rPr>
              <w:t>Slow updates</w:t>
            </w:r>
          </w:p>
        </w:tc>
        <w:tc>
          <w:tcPr>
            <w:tcW w:type="dxa" w:w="2880"/>
          </w:tcPr>
          <w:p>
            <w:r>
              <w:rPr>
                <w:rFonts w:ascii="Times New Roman" w:hAnsi="Times New Roman"/>
              </w:rPr>
              <w:t>Use mini-batches or adaptive learning rates</w:t>
            </w:r>
          </w:p>
        </w:tc>
      </w:tr>
      <w:tr>
        <w:tc>
          <w:tcPr>
            <w:tcW w:type="dxa" w:w="2880"/>
          </w:tcPr>
          <w:p>
            <w:r>
              <w:rPr>
                <w:rFonts w:ascii="Times New Roman" w:hAnsi="Times New Roman"/>
              </w:rPr>
              <w:t>Small batch size</w:t>
            </w:r>
          </w:p>
        </w:tc>
        <w:tc>
          <w:tcPr>
            <w:tcW w:type="dxa" w:w="2880"/>
          </w:tcPr>
          <w:p>
            <w:r>
              <w:rPr>
                <w:rFonts w:ascii="Times New Roman" w:hAnsi="Times New Roman"/>
              </w:rPr>
              <w:t>Noisy gradients</w:t>
            </w:r>
          </w:p>
        </w:tc>
        <w:tc>
          <w:tcPr>
            <w:tcW w:type="dxa" w:w="2880"/>
          </w:tcPr>
          <w:p>
            <w:r>
              <w:rPr>
                <w:rFonts w:ascii="Times New Roman" w:hAnsi="Times New Roman"/>
              </w:rPr>
              <w:t>Increase batch size or use regularization</w:t>
            </w:r>
          </w:p>
        </w:tc>
      </w:tr>
    </w:tbl>
    <w:p>
      <w:pPr>
        <w:pStyle w:val="Heading1"/>
        <w:jc w:val="center"/>
      </w:pPr>
      <w:r>
        <w:rPr>
          <w:rFonts w:ascii="Times New Roman" w:hAnsi="Times New Roman"/>
        </w:rPr>
        <w:t>Advanced Optimization Algorithms</w:t>
      </w:r>
    </w:p>
    <w:p>
      <w:pPr>
        <w:jc w:val="both"/>
      </w:pPr>
      <w:r>
        <w:rPr>
          <w:rFonts w:ascii="Times New Roman" w:hAnsi="Times New Roman"/>
          <w:b w:val="0"/>
          <w:i w:val="0"/>
          <w:sz w:val="24"/>
        </w:rPr>
        <w:t xml:space="preserve">Beyond basic gradient descent, several advanced optimization algorithms have been developed to improve convergence speed and stability. </w:t>
      </w:r>
      <w:r>
        <w:rPr>
          <w:rFonts w:ascii="Times New Roman" w:hAnsi="Times New Roman"/>
          <w:b/>
          <w:i w:val="0"/>
          <w:sz w:val="24"/>
        </w:rPr>
        <w:t>Momentum</w:t>
      </w:r>
      <w:r>
        <w:rPr>
          <w:rFonts w:ascii="Times New Roman" w:hAnsi="Times New Roman"/>
          <w:b w:val="0"/>
          <w:i w:val="0"/>
          <w:sz w:val="24"/>
        </w:rPr>
        <w:t xml:space="preserve"> accumulates gradients over time to accelerate convergence. </w:t>
      </w:r>
      <w:r>
        <w:rPr>
          <w:rFonts w:ascii="Times New Roman" w:hAnsi="Times New Roman"/>
          <w:b/>
          <w:i w:val="0"/>
          <w:sz w:val="24"/>
        </w:rPr>
        <w:t>Adaptive learning rate methods</w:t>
      </w:r>
      <w:r>
        <w:rPr>
          <w:rFonts w:ascii="Times New Roman" w:hAnsi="Times New Roman"/>
          <w:b w:val="0"/>
          <w:i w:val="0"/>
          <w:sz w:val="24"/>
        </w:rPr>
        <w:t xml:space="preserve"> like Adam and RMSprop adjust the learning rate for each parameter individually based on historical gradients.</w:t>
      </w:r>
    </w:p>
    <w:p>
      <m:oMath>
        <m:box>
          <m:e>
            <m:sSub>
              <m:e>
                <m:r>
                  <m:rPr>
                    <m:sty m:val="i"/>
                  </m:rPr>
                  <m:t>θ</m:t>
                </m:r>
              </m:e>
              <m:sub>
                <m:box>
                  <m:e>
                    <m:r>
                      <m:rPr>
                        <m:sty m:val="i"/>
                      </m:rPr>
                      <m:t>t</m:t>
                    </m:r>
                    <m:r>
                      <m:rPr>
                        <m:sty m:val="p"/>
                      </m:rPr>
                      <m:t>+</m:t>
                    </m:r>
                    <m:r>
                      <m:rPr>
                        <m:sty m:val="p"/>
                      </m:rPr>
                      <m:t>1</m:t>
                    </m:r>
                  </m:e>
                </m:box>
              </m:sub>
            </m:sSub>
            <m:r>
              <m:rPr>
                <m:sty m:val="p"/>
              </m:rPr>
              <m:t>=</m:t>
            </m:r>
            <m:sSub>
              <m:e>
                <m:r>
                  <m:rPr>
                    <m:sty m:val="i"/>
                  </m:rPr>
                  <m:t>θ</m:t>
                </m:r>
              </m:e>
              <m:sub>
                <m:r>
                  <m:rPr>
                    <m:sty m:val="i"/>
                  </m:rPr>
                  <m:t>t</m:t>
                </m:r>
              </m:sub>
            </m:sSub>
            <m:r>
              <m:rPr>
                <m:sty m:val="p"/>
              </m:rPr>
              <m:t>−</m:t>
            </m:r>
            <m:r>
              <m:rPr>
                <m:sty m:val="i"/>
              </m:rPr>
              <m:t>α</m:t>
            </m:r>
            <m:f>
              <m:num>
                <m:box>
                  <m:e>
                    <m:sSub>
                      <m:e>
                        <m:r>
                          <m:rPr>
                            <m:sty m:val="i"/>
                          </m:rPr>
                          <m:t>m</m:t>
                        </m:r>
                      </m:e>
                      <m:sub>
                        <m:r>
                          <m:rPr>
                            <m:sty m:val="i"/>
                          </m:rPr>
                          <m:t>t</m:t>
                        </m:r>
                      </m:sub>
                    </m:sSub>
                  </m:e>
                </m:box>
              </m:num>
              <m:den>
                <m:box>
                  <m:e>
                    <m:rad>
                      <m:e>
                        <m:box>
                          <m:e>
                            <m:box>
                              <m:e>
                                <m:sSub>
                                  <m:e>
                                    <m:r>
                                      <m:rPr>
                                        <m:sty m:val="i"/>
                                      </m:rPr>
                                      <m:t>v</m:t>
                                    </m:r>
                                  </m:e>
                                  <m:sub>
                                    <m:r>
                                      <m:rPr>
                                        <m:sty m:val="i"/>
                                      </m:rPr>
                                      <m:t>t</m:t>
                                    </m:r>
                                  </m:sub>
                                </m:sSub>
                              </m:e>
                            </m:box>
                          </m:e>
                        </m:box>
                      </m:e>
                    </m:rad>
                    <m:r>
                      <m:rPr>
                        <m:sty m:val="p"/>
                      </m:rPr>
                      <m:t>+</m:t>
                    </m:r>
                    <m:r>
                      <m:rPr>
                        <m:sty m:val="i"/>
                      </m:rPr>
                      <m:t>ϵ</m:t>
                    </m:r>
                  </m:e>
                </m:box>
              </m:den>
            </m:f>
          </m:e>
        </m:box>
      </m:oMath>
    </w:p>
    <w:p>
      <w:pPr>
        <w:pStyle w:val="Caption"/>
        <w:jc w:val="center"/>
      </w:pPr>
      <w:r>
        <w:t>Equation 5: Adam optimizer update rule using first and second moment estimates.</w:t>
      </w:r>
    </w:p>
    <w:p>
      <w:pPr>
        <w:pStyle w:val="Heading1"/>
        <w:jc w:val="center"/>
      </w:pPr>
      <w:r>
        <w:rPr>
          <w:rFonts w:ascii="Times New Roman" w:hAnsi="Times New Roman"/>
        </w:rPr>
        <w:t>Conclusion</w:t>
      </w:r>
    </w:p>
    <w:p>
      <w:pPr>
        <w:jc w:val="both"/>
      </w:pPr>
      <w:r>
        <w:rPr>
          <w:rFonts w:ascii="Times New Roman" w:hAnsi="Times New Roman"/>
          <w:b w:val="0"/>
          <w:i w:val="0"/>
          <w:sz w:val="24"/>
        </w:rPr>
        <w:t>Gradient descent is a cornerstone algorithm in machine learning and optimization. Understanding its mathematical foundations, variants, and practical considerations is essential for effectively training machine learning models. While basic gradient descent is simple and intuitive, modern applications often benefit from advanced variants and adaptive learning rate methods that address convergence challenges and improve training efficiency.</w:t>
      </w:r>
      <w:r>
        <w:rPr>
          <w:rFonts w:ascii="Times New Roman" w:hAnsi="Times New Roman"/>
          <w:b w:val="0"/>
          <w:i w:val="0"/>
          <w:sz w:val="24"/>
        </w:rPr>
        <w:t>The choice between batch, stochastic, and mini-batch gradient descent depends on the specific problem, dataset size, and computational resources available. By carefully tuning the learning rate and considering the optimization landscape, practitioners can leverage gradient descent to successfully train powerful machine learning models.</w:t>
      </w:r>
    </w:p>
    <w:sectPr w:rsidR="00FC693F" w:rsidRPr="0006063C" w:rsidSect="00034616">
      <w:pgSz w:w="12240" w:h="15840"/>
      <w:pgMar w:top="1440" w:right="1800" w:bottom="1440" w:left="1800" w:header="720" w:footer="720" w:gutter="0"/>
      <w:cols w:space="720"/>
      <w:docGrid w:linePitch="360"/>
      <w:cols w:num="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