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72"/>
        </w:rPr>
        <w:t>Gradient Descent: Algorithms, Mathematics, and Visualizations</w:t>
      </w:r>
    </w:p>
    <w:p>
      <w:pPr>
        <w:jc w:val="center"/>
      </w:pPr>
      <w:r>
        <w:rPr>
          <w:rFonts w:ascii="Times New Roman" w:hAnsi="Times New Roman"/>
          <w:i/>
          <w:sz w:val="24"/>
        </w:rPr>
        <w:t>Comprehensive Guide Covering Variants, Math, and Pitfalls</w:t>
      </w:r>
    </w:p>
    <w:p>
      <w:pPr>
        <w:jc w:val="center"/>
      </w:pPr>
      <w:r>
        <w:rPr>
          <w:rFonts w:ascii="Times New Roman" w:hAnsi="Times New Roman"/>
          <w:sz w:val="24"/>
        </w:rPr>
        <w:t>This document provides a detailed exploration of gradient descent optimization, including mathematics, types (batch, stochastic, mini-batch), challenges, and illustrative diagrams.</w:t>
      </w:r>
    </w:p>
    <w:p>
      <w:pPr>
        <w:jc w:val="center"/>
      </w:pPr>
      <w:r>
        <w:rPr>
          <w:rFonts w:ascii="Times New Roman" w:hAnsi="Times New Roman"/>
          <w:sz w:val="24"/>
        </w:rPr>
        <w:t>Autor: Generated for Maru by Grok</w:t>
      </w:r>
    </w:p>
    <w:p>
      <w:pPr>
        <w:jc w:val="center"/>
      </w:pPr>
      <w:r>
        <w:rPr>
          <w:rFonts w:ascii="Times New Roman" w:hAnsi="Times New Roman"/>
          <w:sz w:val="24"/>
        </w:rPr>
        <w:t>February 2026</w:t>
      </w:r>
    </w:p>
    <w:p>
      <w:pPr>
        <w:sectPr>
          <w:pgSz w:w="12240" w:h="15840"/>
          <w:pgMar w:top="1440" w:right="1800" w:bottom="1440" w:left="1800" w:header="720" w:footer="720" w:gutter="0"/>
          <w:cols w:space="720"/>
          <w:docGrid w:linePitch="360"/>
        </w:sectPr>
      </w:pPr>
    </w:p>
    <w:p>
      <w:pPr>
        <w:pStyle w:val="Heading1"/>
        <w:jc w:val="center"/>
      </w:pPr>
      <w:r>
        <w:rPr>
          <w:rFonts w:ascii="Times New Roman" w:hAnsi="Times New Roman"/>
        </w:rPr>
        <w:t>1. Introduction to Gradient Descent</w:t>
      </w:r>
    </w:p>
    <w:p>
      <w:pPr>
        <w:jc w:val="both"/>
      </w:pPr>
      <w:r>
        <w:rPr>
          <w:rFonts w:ascii="Times New Roman" w:hAnsi="Times New Roman"/>
          <w:b w:val="0"/>
          <w:i w:val="0"/>
          <w:sz w:val="24"/>
        </w:rPr>
        <w:t>Gradient Descent (GD) is a first-order iterative optimization algorithm for finding a local minimum of a differentiable function. It is widely used in machine learning for minimizing loss functions. The algorithm iteratively updates parameters in the direction opposite to the gradient of the function, proportional to the negative gradient.</w:t>
      </w:r>
    </w:p>
    <w:p>
      <w:pPr>
        <w:jc w:val="center"/>
      </w:pPr>
      <w:r>
        <w:drawing>
          <wp:inline xmlns:a="http://schemas.openxmlformats.org/drawingml/2006/main" xmlns:pic="http://schemas.openxmlformats.org/drawingml/2006/picture">
            <wp:extent cx="2286000" cy="148892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1488928"/>
                    </a:xfrm>
                    <a:prstGeom prst="rect"/>
                  </pic:spPr>
                </pic:pic>
              </a:graphicData>
            </a:graphic>
          </wp:inline>
        </w:drawing>
      </w:r>
    </w:p>
    <w:p>
      <w:pPr>
        <w:pStyle w:val="Caption"/>
        <w:jc w:val="center"/>
      </w:pPr>
      <w:r>
        <w:t>Figure 1: Visualization of gradient vectors in a 2D parameter space (W, V), showing the direction of steepest descent</w:t>
      </w:r>
    </w:p>
    <w:p>
      <w:pPr>
        <w:jc w:val="both"/>
      </w:pPr>
      <w:r>
        <w:rPr>
          <w:rFonts w:ascii="Times New Roman" w:hAnsi="Times New Roman"/>
          <w:b w:val="0"/>
          <w:i w:val="0"/>
          <w:sz w:val="24"/>
        </w:rPr>
        <w:t xml:space="preserve">The core idea is to take steps proportional to the </w:t>
      </w:r>
      <w:r>
        <w:rPr>
          <w:rFonts w:ascii="Times New Roman" w:hAnsi="Times New Roman"/>
          <w:b/>
          <w:i w:val="0"/>
          <w:sz w:val="24"/>
        </w:rPr>
        <w:t>negative gradient</w:t>
      </w:r>
      <w:r>
        <w:rPr>
          <w:rFonts w:ascii="Times New Roman" w:hAnsi="Times New Roman"/>
          <w:b w:val="0"/>
          <w:i w:val="0"/>
          <w:sz w:val="24"/>
        </w:rPr>
        <w:t xml:space="preserve"> of the cost function with respect to parameters. This moves towards the minimum cost.</w:t>
        <w:br/>
        <w:br/>
        <w:t>GD is foundational for training neural networks and other models.</w:t>
      </w:r>
    </w:p>
    <w:p>
      <w:pPr>
        <w:pStyle w:val="Heading1"/>
        <w:jc w:val="center"/>
      </w:pPr>
      <w:r>
        <w:rPr>
          <w:rFonts w:ascii="Times New Roman" w:hAnsi="Times New Roman"/>
        </w:rPr>
        <w:t>2. Mathematical Foundations</w:t>
      </w:r>
    </w:p>
    <w:p>
      <w:pPr>
        <w:jc w:val="both"/>
      </w:pPr>
      <w:r>
        <w:rPr>
          <w:rFonts w:ascii="Times New Roman" w:hAnsi="Times New Roman"/>
          <w:b w:val="0"/>
          <w:i w:val="0"/>
          <w:sz w:val="24"/>
        </w:rPr>
        <w:t xml:space="preserve">The gradient of a function </w:t>
      </w:r>
      <w:r>
        <w:rPr>
          <w:rFonts w:ascii="Times New Roman" w:hAnsi="Times New Roman"/>
          <w:b/>
          <w:i w:val="0"/>
          <w:sz w:val="24"/>
        </w:rPr>
        <w:t>J(θ)</w:t>
      </w:r>
      <w:r>
        <w:rPr>
          <w:rFonts w:ascii="Times New Roman" w:hAnsi="Times New Roman"/>
          <w:b w:val="0"/>
          <w:i w:val="0"/>
          <w:sz w:val="24"/>
        </w:rPr>
        <w:t xml:space="preserve"> is a vector of partial derivatives: </w:t>
      </w:r>
      <w:r>
        <w:rPr>
          <w:rFonts w:ascii="Times New Roman" w:hAnsi="Times New Roman"/>
          <w:b/>
          <w:i w:val="0"/>
          <w:sz w:val="24"/>
        </w:rPr>
        <w:t>∇J(θ) = [∂J/∂θ₁, ..., ∂J/∂θₙ]</w:t>
      </w:r>
      <w:r>
        <w:rPr>
          <w:rFonts w:ascii="Times New Roman" w:hAnsi="Times New Roman"/>
          <w:b w:val="0"/>
          <w:i w:val="0"/>
          <w:sz w:val="24"/>
        </w:rPr>
        <w:t>. It points in the direction of steepest ascent.</w:t>
      </w:r>
    </w:p>
    <w:p>
      <w:pPr>
        <w:jc w:val="center"/>
      </w:pPr>
      <w:r>
        <w:drawing>
          <wp:inline xmlns:a="http://schemas.openxmlformats.org/drawingml/2006/main" xmlns:pic="http://schemas.openxmlformats.org/drawingml/2006/picture">
            <wp:extent cx="2286000" cy="126919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1269191"/>
                    </a:xfrm>
                    <a:prstGeom prst="rect"/>
                  </pic:spPr>
                </pic:pic>
              </a:graphicData>
            </a:graphic>
          </wp:inline>
        </w:drawing>
      </w:r>
    </w:p>
    <w:p>
      <w:pPr>
        <w:pStyle w:val="Caption"/>
        <w:jc w:val="center"/>
      </w:pPr>
      <w:r>
        <w:t>Figure 2: Geometric interpretation of the derivative as slope of 'integral' of x²</w:t>
      </w:r>
    </w:p>
    <w:p>
      <m:oMath>
        <m:box>
          <m:e>
            <m:r>
              <m:rPr>
                <m:sty m:val="p"/>
              </m:rPr>
              <m:t>∇</m:t>
            </m:r>
            <m:r>
              <m:rPr>
                <m:sty m:val="i"/>
              </m:rPr>
              <m:t>J</m:t>
            </m:r>
            <m:r>
              <m:rPr>
                <m:sty m:val="p"/>
              </m:rPr>
              <m:t>(</m:t>
            </m:r>
            <m:r>
              <m:rPr>
                <m:sty m:val="i"/>
              </m:rPr>
              <m:t>θ</m:t>
            </m:r>
            <m:r>
              <m:rPr>
                <m:sty m:val="p"/>
              </m:rPr>
              <m:t>)</m:t>
            </m:r>
            <m:r>
              <m:rPr>
                <m:sty m:val="p"/>
              </m:rPr>
              <m:t>=</m:t>
            </m:r>
            <m:box>
              <m:e>
                <m:d>
                  <m:dPr>
                    <m:begChr m:val="["/>
                    <m:endChr m:val="]"/>
                  </m:dPr>
                  <m:e>
                    <m:box>
                      <m:e>
                        <m:f>
                          <m:num>
                            <m:box>
                              <m:e>
                                <m:r>
                                  <m:rPr>
                                    <m:sty m:val="p"/>
                                  </m:rPr>
                                  <m:t>∂</m:t>
                                </m:r>
                                <m:r>
                                  <m:rPr>
                                    <m:sty m:val="i"/>
                                  </m:rPr>
                                  <m:t>J</m:t>
                                </m:r>
                              </m:e>
                            </m:box>
                          </m:num>
                          <m:den>
                            <m:box>
                              <m:e>
                                <m:r>
                                  <m:rPr>
                                    <m:sty m:val="p"/>
                                  </m:rPr>
                                  <m:t>∂</m:t>
                                </m:r>
                                <m:sSub>
                                  <m:e>
                                    <m:r>
                                      <m:rPr>
                                        <m:sty m:val="i"/>
                                      </m:rPr>
                                      <m:t>θ</m:t>
                                    </m:r>
                                  </m:e>
                                  <m:sub>
                                    <m:r>
                                      <m:rPr>
                                        <m:sty m:val="p"/>
                                      </m:rPr>
                                      <m:t>1</m:t>
                                    </m:r>
                                  </m:sub>
                                </m:sSub>
                              </m:e>
                            </m:box>
                          </m:den>
                        </m:f>
                        <m:r>
                          <m:rPr>
                            <m:sty m:val="p"/>
                          </m:rPr>
                          <m:t>,</m:t>
                        </m:r>
                        <m:r>
                          <m:rPr>
                            <m:sty m:val="p"/>
                          </m:rPr>
                          <m:t>…</m:t>
                        </m:r>
                        <m:r>
                          <m:rPr>
                            <m:sty m:val="p"/>
                          </m:rPr>
                          <m:t>,</m:t>
                        </m:r>
                        <m:f>
                          <m:num>
                            <m:box>
                              <m:e>
                                <m:r>
                                  <m:rPr>
                                    <m:sty m:val="p"/>
                                  </m:rPr>
                                  <m:t>∂</m:t>
                                </m:r>
                                <m:r>
                                  <m:rPr>
                                    <m:sty m:val="i"/>
                                  </m:rPr>
                                  <m:t>J</m:t>
                                </m:r>
                              </m:e>
                            </m:box>
                          </m:num>
                          <m:den>
                            <m:box>
                              <m:e>
                                <m:r>
                                  <m:rPr>
                                    <m:sty m:val="p"/>
                                  </m:rPr>
                                  <m:t>∂</m:t>
                                </m:r>
                                <m:sSub>
                                  <m:e>
                                    <m:r>
                                      <m:rPr>
                                        <m:sty m:val="i"/>
                                      </m:rPr>
                                      <m:t>θ</m:t>
                                    </m:r>
                                  </m:e>
                                  <m:sub>
                                    <m:r>
                                      <m:rPr>
                                        <m:sty m:val="i"/>
                                      </m:rPr>
                                      <m:t>n</m:t>
                                    </m:r>
                                  </m:sub>
                                </m:sSub>
                              </m:e>
                            </m:box>
                          </m:den>
                        </m:f>
                      </m:e>
                    </m:box>
                  </m:e>
                </m:d>
              </m:e>
            </m:box>
          </m:e>
        </m:box>
      </m:oMath>
    </w:p>
    <w:p>
      <w:pPr>
        <w:pStyle w:val="Caption"/>
        <w:jc w:val="center"/>
      </w:pPr>
      <w:r>
        <w:t>Equation 1: Gradient vector definition</w:t>
      </w:r>
    </w:p>
    <w:p>
      <w:pPr>
        <w:jc w:val="both"/>
      </w:pPr>
      <w:r>
        <w:rPr>
          <w:rFonts w:ascii="Times New Roman" w:hAnsi="Times New Roman"/>
          <w:b w:val="0"/>
          <w:i w:val="0"/>
          <w:sz w:val="24"/>
        </w:rPr>
        <w:t>The parameter update rule is:</w:t>
        <w:br/>
        <w:br/>
      </w:r>
      <w:r>
        <w:rPr>
          <w:rFonts w:ascii="Times New Roman" w:hAnsi="Times New Roman"/>
          <w:b/>
          <w:i w:val="0"/>
          <w:sz w:val="24"/>
        </w:rPr>
        <w:t>θ ← θ - α ∇J(θ)</w:t>
      </w:r>
      <w:r>
        <w:rPr>
          <w:rFonts w:ascii="Times New Roman" w:hAnsi="Times New Roman"/>
          <w:b w:val="0"/>
          <w:i w:val="0"/>
          <w:sz w:val="24"/>
        </w:rPr>
        <w:br/>
        <w:br/>
        <w:t xml:space="preserve">where </w:t>
      </w:r>
      <w:r>
        <w:rPr>
          <w:rFonts w:ascii="Times New Roman" w:hAnsi="Times New Roman"/>
          <w:b/>
          <w:i w:val="0"/>
          <w:sz w:val="24"/>
        </w:rPr>
        <w:t>α</w:t>
      </w:r>
      <w:r>
        <w:rPr>
          <w:rFonts w:ascii="Times New Roman" w:hAnsi="Times New Roman"/>
          <w:b w:val="0"/>
          <w:i w:val="0"/>
          <w:sz w:val="24"/>
        </w:rPr>
        <w:t xml:space="preserve"> is the learning rate controlling step size.</w:t>
      </w:r>
    </w:p>
    <w:p>
      <w:pPr>
        <w:jc w:val="center"/>
      </w:pPr>
      <w:r>
        <w:drawing>
          <wp:inline xmlns:a="http://schemas.openxmlformats.org/drawingml/2006/main" xmlns:pic="http://schemas.openxmlformats.org/drawingml/2006/picture">
            <wp:extent cx="2286000" cy="133795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1337950"/>
                    </a:xfrm>
                    <a:prstGeom prst="rect"/>
                  </pic:spPr>
                </pic:pic>
              </a:graphicData>
            </a:graphic>
          </wp:inline>
        </w:drawing>
      </w:r>
    </w:p>
    <w:p>
      <w:pPr>
        <w:pStyle w:val="Caption"/>
        <w:jc w:val="center"/>
      </w:pPr>
      <w:r>
        <w:t>Figure 3: Finite difference approximation of the derivative</w:t>
      </w:r>
    </w:p>
    <w:p>
      <m:oMath>
        <m:box>
          <m:e>
            <m:sSup>
              <m:e>
                <m:r>
                  <m:rPr>
                    <m:sty m:val="i"/>
                  </m:rPr>
                  <m:t>θ</m:t>
                </m:r>
              </m:e>
              <m:sup>
                <m:box>
                  <m:e>
                    <m:r>
                      <m:rPr>
                        <m:sty m:val="p"/>
                      </m:rPr>
                      <m:t>(</m:t>
                    </m:r>
                    <m:r>
                      <m:rPr>
                        <m:sty m:val="i"/>
                      </m:rPr>
                      <m:t>t</m:t>
                    </m:r>
                    <m:r>
                      <m:rPr>
                        <m:sty m:val="p"/>
                      </m:rPr>
                      <m:t>+</m:t>
                    </m:r>
                    <m:r>
                      <m:rPr>
                        <m:sty m:val="p"/>
                      </m:rPr>
                      <m:t>1</m:t>
                    </m:r>
                    <m:r>
                      <m:rPr>
                        <m:sty m:val="p"/>
                      </m:rPr>
                      <m:t>)</m:t>
                    </m:r>
                  </m:e>
                </m:box>
              </m:sup>
            </m:sSup>
            <m:r>
              <m:rPr>
                <m:sty m:val="p"/>
              </m:rPr>
              <m:t>=</m:t>
            </m:r>
            <m:sSup>
              <m:e>
                <m:r>
                  <m:rPr>
                    <m:sty m:val="i"/>
                  </m:rPr>
                  <m:t>θ</m:t>
                </m:r>
              </m:e>
              <m:sup>
                <m:box>
                  <m:e>
                    <m:r>
                      <m:rPr>
                        <m:sty m:val="p"/>
                      </m:rPr>
                      <m:t>(</m:t>
                    </m:r>
                    <m:r>
                      <m:rPr>
                        <m:sty m:val="i"/>
                      </m:rPr>
                      <m:t>t</m:t>
                    </m:r>
                    <m:r>
                      <m:rPr>
                        <m:sty m:val="p"/>
                      </m:rPr>
                      <m:t>)</m:t>
                    </m:r>
                  </m:e>
                </m:box>
              </m:sup>
            </m:sSup>
            <m:r>
              <m:rPr>
                <m:sty m:val="p"/>
              </m:rPr>
              <m:t>−</m:t>
            </m:r>
            <m:r>
              <m:rPr>
                <m:sty m:val="i"/>
              </m:rPr>
              <m:t>α</m:t>
            </m:r>
            <m:r>
              <m:rPr>
                <m:sty m:val="p"/>
              </m:rPr>
              <m:t>∇</m:t>
            </m:r>
            <m:r>
              <m:rPr>
                <m:sty m:val="i"/>
              </m:rPr>
              <m:t>J</m:t>
            </m:r>
            <m:r>
              <m:rPr>
                <m:sty m:val="p"/>
              </m:rPr>
              <m:t>(</m:t>
            </m:r>
            <m:sSup>
              <m:e>
                <m:r>
                  <m:rPr>
                    <m:sty m:val="i"/>
                  </m:rPr>
                  <m:t>θ</m:t>
                </m:r>
              </m:e>
              <m:sup>
                <m:box>
                  <m:e>
                    <m:r>
                      <m:rPr>
                        <m:sty m:val="p"/>
                      </m:rPr>
                      <m:t>(</m:t>
                    </m:r>
                    <m:r>
                      <m:rPr>
                        <m:sty m:val="i"/>
                      </m:rPr>
                      <m:t>t</m:t>
                    </m:r>
                    <m:r>
                      <m:rPr>
                        <m:sty m:val="p"/>
                      </m:rPr>
                      <m:t>)</m:t>
                    </m:r>
                  </m:e>
                </m:box>
              </m:sup>
            </m:sSup>
            <m:r>
              <m:rPr>
                <m:sty m:val="p"/>
              </m:rPr>
              <m:t>)</m:t>
            </m:r>
          </m:e>
        </m:box>
      </m:oMath>
    </w:p>
    <w:p>
      <w:pPr>
        <w:pStyle w:val="Caption"/>
        <w:jc w:val="center"/>
      </w:pPr>
      <w:r>
        <w:t>Equation 2: Gradient Descent update rule</w:t>
      </w:r>
    </w:p>
    <w:p>
      <w:pPr>
        <w:pStyle w:val="Heading1"/>
        <w:jc w:val="center"/>
      </w:pPr>
      <w:r>
        <w:rPr>
          <w:rFonts w:ascii="Times New Roman" w:hAnsi="Times New Roman"/>
        </w:rPr>
        <w:t>3. Types of Gradient Descent</w:t>
      </w:r>
    </w:p>
    <w:p>
      <w:pPr>
        <w:pStyle w:val="ListBullet"/>
      </w:pPr>
      <w:r>
        <w:rPr>
          <w:rFonts w:ascii="Times New Roman" w:hAnsi="Times New Roman"/>
        </w:rPr>
        <w:t>**Batch Gradient Descent (BGD)**: Computes gradient over entire dataset. Precise but slow for large data.</w:t>
      </w:r>
    </w:p>
    <w:p>
      <w:pPr>
        <w:pStyle w:val="ListBullet"/>
      </w:pPr>
      <w:r>
        <w:rPr>
          <w:rFonts w:ascii="Times New Roman" w:hAnsi="Times New Roman"/>
        </w:rPr>
        <w:t>**Stochastic Gradient Descent (SGD)**: Updates using one sample at a time. Fast, noisy path to minimum.</w:t>
      </w:r>
    </w:p>
    <w:p>
      <w:pPr>
        <w:pStyle w:val="ListBullet"/>
      </w:pPr>
      <w:r>
        <w:rPr>
          <w:rFonts w:ascii="Times New Roman" w:hAnsi="Times New Roman"/>
        </w:rPr>
        <w:t>**Mini-batch Gradient Descent**: Compromise using small batches. Balances speed and stability.</w:t>
      </w:r>
    </w:p>
    <w:p>
      <w:pPr>
        <w:jc w:val="center"/>
      </w:pPr>
      <w:r>
        <w:drawing>
          <wp:inline xmlns:a="http://schemas.openxmlformats.org/drawingml/2006/main" xmlns:pic="http://schemas.openxmlformats.org/drawingml/2006/picture">
            <wp:extent cx="2286000" cy="97202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972024"/>
                    </a:xfrm>
                    <a:prstGeom prst="rect"/>
                  </pic:spPr>
                </pic:pic>
              </a:graphicData>
            </a:graphic>
          </wp:inline>
        </w:drawing>
      </w:r>
    </w:p>
    <w:p>
      <w:pPr>
        <w:pStyle w:val="Caption"/>
        <w:jc w:val="center"/>
      </w:pPr>
      <w:r>
        <w:t>Figure 4: Contour plot showing paths for different GD variants</w:t>
      </w:r>
    </w:p>
    <w:p>
      <w:pPr>
        <w:jc w:val="center"/>
      </w:pPr>
      <w:r>
        <w:drawing>
          <wp:inline xmlns:a="http://schemas.openxmlformats.org/drawingml/2006/main" xmlns:pic="http://schemas.openxmlformats.org/drawingml/2006/picture">
            <wp:extent cx="2286000" cy="103068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0" cy="1030682"/>
                    </a:xfrm>
                    <a:prstGeom prst="rect"/>
                  </pic:spPr>
                </pic:pic>
              </a:graphicData>
            </a:graphic>
          </wp:inline>
        </w:drawing>
      </w:r>
    </w:p>
    <w:p>
      <w:pPr>
        <w:pStyle w:val="Caption"/>
        <w:jc w:val="center"/>
      </w:pPr>
      <w:r>
        <w:t>Figure 5: Cost vs. epochs comparison for Stochastic (red), Mini-batch (green), Batch (blue)</w:t>
      </w:r>
    </w:p>
    <w:p>
      <w:pPr>
        <w:pStyle w:val="Caption"/>
        <w:jc w:val="center"/>
      </w:pPr>
      <w:r>
        <w:t>Table 1: Comparison of Gradient Descent Variants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rPr>
              <w:t>Type</w:t>
            </w:r>
          </w:p>
        </w:tc>
        <w:tc>
          <w:tcPr>
            <w:tcW w:type="dxa" w:w="1728"/>
          </w:tcPr>
          <w:p>
            <w:r>
              <w:rPr>
                <w:rFonts w:ascii="Times New Roman" w:hAnsi="Times New Roman"/>
              </w:rPr>
              <w:t>Dataset Usage</w:t>
            </w:r>
          </w:p>
        </w:tc>
        <w:tc>
          <w:tcPr>
            <w:tcW w:type="dxa" w:w="1728"/>
          </w:tcPr>
          <w:p>
            <w:r>
              <w:rPr>
                <w:rFonts w:ascii="Times New Roman" w:hAnsi="Times New Roman"/>
              </w:rPr>
              <w:t>Update Frequency</w:t>
            </w:r>
          </w:p>
        </w:tc>
        <w:tc>
          <w:tcPr>
            <w:tcW w:type="dxa" w:w="1728"/>
          </w:tcPr>
          <w:p>
            <w:r>
              <w:rPr>
                <w:rFonts w:ascii="Times New Roman" w:hAnsi="Times New Roman"/>
              </w:rPr>
              <w:t>Pros</w:t>
            </w:r>
          </w:p>
        </w:tc>
        <w:tc>
          <w:tcPr>
            <w:tcW w:type="dxa" w:w="1728"/>
          </w:tcPr>
          <w:p>
            <w:r>
              <w:rPr>
                <w:rFonts w:ascii="Times New Roman" w:hAnsi="Times New Roman"/>
              </w:rPr>
              <w:t>Cons</w:t>
            </w:r>
          </w:p>
        </w:tc>
      </w:tr>
      <w:tr>
        <w:tc>
          <w:tcPr>
            <w:tcW w:type="dxa" w:w="1728"/>
          </w:tcPr>
          <w:p>
            <w:r>
              <w:rPr>
                <w:rFonts w:ascii="Times New Roman" w:hAnsi="Times New Roman"/>
              </w:rPr>
              <w:t>Batch GD</w:t>
            </w:r>
          </w:p>
        </w:tc>
        <w:tc>
          <w:tcPr>
            <w:tcW w:type="dxa" w:w="1728"/>
          </w:tcPr>
          <w:p>
            <w:r>
              <w:rPr>
                <w:rFonts w:ascii="Times New Roman" w:hAnsi="Times New Roman"/>
              </w:rPr>
              <w:t>Full dataset</w:t>
            </w:r>
          </w:p>
        </w:tc>
        <w:tc>
          <w:tcPr>
            <w:tcW w:type="dxa" w:w="1728"/>
          </w:tcPr>
          <w:p>
            <w:r>
              <w:rPr>
                <w:rFonts w:ascii="Times New Roman" w:hAnsi="Times New Roman"/>
              </w:rPr>
              <w:t>Once per epoch</w:t>
            </w:r>
          </w:p>
        </w:tc>
        <w:tc>
          <w:tcPr>
            <w:tcW w:type="dxa" w:w="1728"/>
          </w:tcPr>
          <w:p>
            <w:r>
              <w:rPr>
                <w:rFonts w:ascii="Times New Roman" w:hAnsi="Times New Roman"/>
              </w:rPr>
              <w:t>Smooth convergence, exact direction</w:t>
            </w:r>
          </w:p>
        </w:tc>
        <w:tc>
          <w:tcPr>
            <w:tcW w:type="dxa" w:w="1728"/>
          </w:tcPr>
          <w:p>
            <w:r>
              <w:rPr>
                <w:rFonts w:ascii="Times New Roman" w:hAnsi="Times New Roman"/>
              </w:rPr>
              <w:t>Computationally expensive, slow for large data</w:t>
            </w:r>
          </w:p>
        </w:tc>
      </w:tr>
      <w:tr>
        <w:tc>
          <w:tcPr>
            <w:tcW w:type="dxa" w:w="1728"/>
          </w:tcPr>
          <w:p>
            <w:r>
              <w:rPr>
                <w:rFonts w:ascii="Times New Roman" w:hAnsi="Times New Roman"/>
              </w:rPr>
              <w:t>Stochastic GD</w:t>
            </w:r>
          </w:p>
        </w:tc>
        <w:tc>
          <w:tcPr>
            <w:tcW w:type="dxa" w:w="1728"/>
          </w:tcPr>
          <w:p>
            <w:r>
              <w:rPr>
                <w:rFonts w:ascii="Times New Roman" w:hAnsi="Times New Roman"/>
              </w:rPr>
              <w:t>1 sample</w:t>
            </w:r>
          </w:p>
        </w:tc>
        <w:tc>
          <w:tcPr>
            <w:tcW w:type="dxa" w:w="1728"/>
          </w:tcPr>
          <w:p>
            <w:r>
              <w:rPr>
                <w:rFonts w:ascii="Times New Roman" w:hAnsi="Times New Roman"/>
              </w:rPr>
              <w:t>Every sample</w:t>
            </w:r>
          </w:p>
        </w:tc>
        <w:tc>
          <w:tcPr>
            <w:tcW w:type="dxa" w:w="1728"/>
          </w:tcPr>
          <w:p>
            <w:r>
              <w:rPr>
                <w:rFonts w:ascii="Times New Roman" w:hAnsi="Times New Roman"/>
              </w:rPr>
              <w:t>Fast updates, escapes local minima</w:t>
            </w:r>
          </w:p>
        </w:tc>
        <w:tc>
          <w:tcPr>
            <w:tcW w:type="dxa" w:w="1728"/>
          </w:tcPr>
          <w:p>
            <w:r>
              <w:rPr>
                <w:rFonts w:ascii="Times New Roman" w:hAnsi="Times New Roman"/>
              </w:rPr>
              <w:t>Noisy, erratic convergence</w:t>
            </w:r>
          </w:p>
        </w:tc>
      </w:tr>
      <w:tr>
        <w:tc>
          <w:tcPr>
            <w:tcW w:type="dxa" w:w="1728"/>
          </w:tcPr>
          <w:p>
            <w:r>
              <w:rPr>
                <w:rFonts w:ascii="Times New Roman" w:hAnsi="Times New Roman"/>
              </w:rPr>
              <w:t>Mini-batch GD</w:t>
            </w:r>
          </w:p>
        </w:tc>
        <w:tc>
          <w:tcPr>
            <w:tcW w:type="dxa" w:w="1728"/>
          </w:tcPr>
          <w:p>
            <w:r>
              <w:rPr>
                <w:rFonts w:ascii="Times New Roman" w:hAnsi="Times New Roman"/>
              </w:rPr>
              <w:t>Small batch (e.g., 32-256)</w:t>
            </w:r>
          </w:p>
        </w:tc>
        <w:tc>
          <w:tcPr>
            <w:tcW w:type="dxa" w:w="1728"/>
          </w:tcPr>
          <w:p>
            <w:r>
              <w:rPr>
                <w:rFonts w:ascii="Times New Roman" w:hAnsi="Times New Roman"/>
              </w:rPr>
              <w:t>Every mini-batch</w:t>
            </w:r>
          </w:p>
        </w:tc>
        <w:tc>
          <w:tcPr>
            <w:tcW w:type="dxa" w:w="1728"/>
          </w:tcPr>
          <w:p>
            <w:r>
              <w:rPr>
                <w:rFonts w:ascii="Times New Roman" w:hAnsi="Times New Roman"/>
              </w:rPr>
              <w:t>Faster than batch, less noisy than SGD</w:t>
            </w:r>
          </w:p>
        </w:tc>
        <w:tc>
          <w:tcPr>
            <w:tcW w:type="dxa" w:w="1728"/>
          </w:tcPr>
          <w:p>
            <w:r>
              <w:rPr>
                <w:rFonts w:ascii="Times New Roman" w:hAnsi="Times New Roman"/>
              </w:rPr>
              <w:t>Batch size tuning required</w:t>
            </w:r>
          </w:p>
        </w:tc>
      </w:tr>
    </w:tbl>
    <w:p>
      <w:pPr>
        <w:pStyle w:val="Heading1"/>
        <w:jc w:val="center"/>
      </w:pPr>
      <w:r>
        <w:rPr>
          <w:rFonts w:ascii="Times New Roman" w:hAnsi="Times New Roman"/>
        </w:rPr>
        <w:t>4. Learning Rate and Challenges</w:t>
      </w:r>
    </w:p>
    <w:p>
      <w:pPr>
        <w:jc w:val="both"/>
      </w:pPr>
      <w:r>
        <w:rPr>
          <w:rFonts w:ascii="Times New Roman" w:hAnsi="Times New Roman"/>
          <w:b w:val="0"/>
          <w:i w:val="0"/>
          <w:sz w:val="24"/>
        </w:rPr>
        <w:t xml:space="preserve">Choosing </w:t>
      </w:r>
      <w:r>
        <w:rPr>
          <w:rFonts w:ascii="Times New Roman" w:hAnsi="Times New Roman"/>
          <w:b/>
          <w:i w:val="0"/>
          <w:sz w:val="24"/>
        </w:rPr>
        <w:t>α</w:t>
      </w:r>
      <w:r>
        <w:rPr>
          <w:rFonts w:ascii="Times New Roman" w:hAnsi="Times New Roman"/>
          <w:b w:val="0"/>
          <w:i w:val="0"/>
          <w:sz w:val="24"/>
        </w:rPr>
        <w:t xml:space="preserve"> is crucial. Too large: overshoot minimum. Too small: slow convergence.</w:t>
        <w:br/>
        <w:br/>
        <w:t>Common pitfalls include local minima, plateaus, saddle points, and cliffs.</w:t>
      </w:r>
    </w:p>
    <w:p>
      <w:pPr>
        <w:jc w:val="center"/>
      </w:pPr>
      <w:r>
        <w:drawing>
          <wp:inline xmlns:a="http://schemas.openxmlformats.org/drawingml/2006/main" xmlns:pic="http://schemas.openxmlformats.org/drawingml/2006/picture">
            <wp:extent cx="2286000" cy="111384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0" cy="1113849"/>
                    </a:xfrm>
                    <a:prstGeom prst="rect"/>
                  </pic:spPr>
                </pic:pic>
              </a:graphicData>
            </a:graphic>
          </wp:inline>
        </w:drawing>
      </w:r>
    </w:p>
    <w:p>
      <w:pPr>
        <w:pStyle w:val="Caption"/>
        <w:jc w:val="center"/>
      </w:pPr>
      <w:r>
        <w:t>Figure 6: Illustration of learning step size on a parabolic cost function</w:t>
      </w:r>
    </w:p>
    <w:p>
      <w:pPr>
        <w:jc w:val="center"/>
      </w:pPr>
      <w:r>
        <w:drawing>
          <wp:inline xmlns:a="http://schemas.openxmlformats.org/drawingml/2006/main" xmlns:pic="http://schemas.openxmlformats.org/drawingml/2006/picture">
            <wp:extent cx="2286000" cy="110164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86000" cy="1101646"/>
                    </a:xfrm>
                    <a:prstGeom prst="rect"/>
                  </pic:spPr>
                </pic:pic>
              </a:graphicData>
            </a:graphic>
          </wp:inline>
        </w:drawing>
      </w:r>
    </w:p>
    <w:p>
      <w:pPr>
        <w:pStyle w:val="Caption"/>
        <w:jc w:val="center"/>
      </w:pPr>
      <w:r>
        <w:t>Figure 7: Pitfalls in Gradient Descent: local/global minima, plateau</w:t>
      </w:r>
    </w:p>
    <w:p>
      <w:pPr>
        <w:jc w:val="center"/>
      </w:pPr>
      <w:r>
        <w:drawing>
          <wp:inline xmlns:a="http://schemas.openxmlformats.org/drawingml/2006/main" xmlns:pic="http://schemas.openxmlformats.org/drawingml/2006/picture">
            <wp:extent cx="2286000" cy="141722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286000" cy="1417222"/>
                    </a:xfrm>
                    <a:prstGeom prst="rect"/>
                  </pic:spPr>
                </pic:pic>
              </a:graphicData>
            </a:graphic>
          </wp:inline>
        </w:drawing>
      </w:r>
    </w:p>
    <w:p>
      <w:pPr>
        <w:pStyle w:val="Caption"/>
        <w:jc w:val="center"/>
      </w:pPr>
      <w:r>
        <w:t>Figure 8: SGD trajectory on a cost contour</w:t>
      </w:r>
    </w:p>
    <w:p>
      <w:pPr>
        <w:jc w:val="both"/>
      </w:pPr>
      <w:r>
        <w:rPr>
          <w:rFonts w:ascii="Times New Roman" w:hAnsi="Times New Roman"/>
          <w:b w:val="0"/>
          <w:i w:val="0"/>
          <w:sz w:val="24"/>
        </w:rPr>
      </w:r>
      <w:r>
        <w:rPr>
          <w:rFonts w:ascii="Times New Roman" w:hAnsi="Times New Roman"/>
          <w:b/>
          <w:i w:val="0"/>
          <w:sz w:val="24"/>
        </w:rPr>
        <w:t>Solutions</w:t>
      </w:r>
      <w:r>
        <w:rPr>
          <w:rFonts w:ascii="Times New Roman" w:hAnsi="Times New Roman"/>
          <w:b w:val="0"/>
          <w:i w:val="0"/>
          <w:sz w:val="24"/>
        </w:rPr>
        <w:t>: Momentum, Adam optimizer, learning rate scheduling, line search.</w:t>
      </w:r>
    </w:p>
    <w:p>
      <w:pPr>
        <w:pStyle w:val="Heading1"/>
        <w:jc w:val="center"/>
      </w:pPr>
      <w:r>
        <w:rPr>
          <w:rFonts w:ascii="Times New Roman" w:hAnsi="Times New Roman"/>
        </w:rPr>
        <w:t>5. Multidimensional and Advanced Visualizations</w:t>
      </w:r>
    </w:p>
    <w:p>
      <w:pPr>
        <w:jc w:val="center"/>
      </w:pPr>
      <w:r>
        <w:drawing>
          <wp:inline xmlns:a="http://schemas.openxmlformats.org/drawingml/2006/main" xmlns:pic="http://schemas.openxmlformats.org/drawingml/2006/picture">
            <wp:extent cx="2286000" cy="67216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86000" cy="672166"/>
                    </a:xfrm>
                    <a:prstGeom prst="rect"/>
                  </pic:spPr>
                </pic:pic>
              </a:graphicData>
            </a:graphic>
          </wp:inline>
        </w:drawing>
      </w:r>
    </w:p>
    <w:p>
      <w:pPr>
        <w:pStyle w:val="Caption"/>
        <w:jc w:val="center"/>
      </w:pPr>
      <w:r>
        <w:t>Figure 9: Gradient descent in 2D feature space</w:t>
      </w:r>
    </w:p>
    <w:p>
      <w:pPr>
        <w:jc w:val="center"/>
      </w:pPr>
      <w:r>
        <w:drawing>
          <wp:inline xmlns:a="http://schemas.openxmlformats.org/drawingml/2006/main" xmlns:pic="http://schemas.openxmlformats.org/drawingml/2006/picture">
            <wp:extent cx="2286000" cy="186847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286000" cy="1868476"/>
                    </a:xfrm>
                    <a:prstGeom prst="rect"/>
                  </pic:spPr>
                </pic:pic>
              </a:graphicData>
            </a:graphic>
          </wp:inline>
        </w:drawing>
      </w:r>
    </w:p>
    <w:p>
      <w:pPr>
        <w:pStyle w:val="Caption"/>
        <w:jc w:val="center"/>
      </w:pPr>
      <w:r>
        <w:t>Figure 10: Contour plot with learning rate effects</w:t>
      </w:r>
    </w:p>
    <w:p>
      <w:pPr>
        <w:jc w:val="center"/>
      </w:pPr>
      <w:r>
        <w:drawing>
          <wp:inline xmlns:a="http://schemas.openxmlformats.org/drawingml/2006/main" xmlns:pic="http://schemas.openxmlformats.org/drawingml/2006/picture">
            <wp:extent cx="2286000" cy="84113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86000" cy="841136"/>
                    </a:xfrm>
                    <a:prstGeom prst="rect"/>
                  </pic:spPr>
                </pic:pic>
              </a:graphicData>
            </a:graphic>
          </wp:inline>
        </w:drawing>
      </w:r>
    </w:p>
    <w:p>
      <w:pPr>
        <w:pStyle w:val="Caption"/>
        <w:jc w:val="center"/>
      </w:pPr>
      <w:r>
        <w:t>Figure 11: Line search in optimization</w:t>
      </w:r>
    </w:p>
    <w:p>
      <w:pPr>
        <w:jc w:val="center"/>
      </w:pPr>
      <w:r>
        <w:drawing>
          <wp:inline xmlns:a="http://schemas.openxmlformats.org/drawingml/2006/main" xmlns:pic="http://schemas.openxmlformats.org/drawingml/2006/picture">
            <wp:extent cx="2286000" cy="117679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86000" cy="1176790"/>
                    </a:xfrm>
                    <a:prstGeom prst="rect"/>
                  </pic:spPr>
                </pic:pic>
              </a:graphicData>
            </a:graphic>
          </wp:inline>
        </w:drawing>
      </w:r>
    </w:p>
    <w:p>
      <w:pPr>
        <w:pStyle w:val="Caption"/>
        <w:jc w:val="center"/>
      </w:pPr>
      <w:r>
        <w:t>Figure 12: Cost function with multiple minima</w:t>
      </w:r>
    </w:p>
    <w:p>
      <w:pPr>
        <w:jc w:val="both"/>
      </w:pPr>
      <w:r>
        <w:rPr>
          <w:rFonts w:ascii="Times New Roman" w:hAnsi="Times New Roman"/>
          <w:b w:val="0"/>
          <w:i w:val="0"/>
          <w:sz w:val="24"/>
        </w:rPr>
        <w:t>In higher dimensions, GD navigates complex surfaces. Visualizations aid understanding the algorithm's behavior.</w:t>
        <w:br/>
        <w:br/>
        <w:t>Domain considerations ensure differentiability over the parameter space.</w:t>
      </w:r>
    </w:p>
    <w:p>
      <w:pPr>
        <w:jc w:val="center"/>
      </w:pPr>
      <w:r>
        <w:drawing>
          <wp:inline xmlns:a="http://schemas.openxmlformats.org/drawingml/2006/main" xmlns:pic="http://schemas.openxmlformats.org/drawingml/2006/picture">
            <wp:extent cx="2286000" cy="183995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286000" cy="1839951"/>
                    </a:xfrm>
                    <a:prstGeom prst="rect"/>
                  </pic:spPr>
                </pic:pic>
              </a:graphicData>
            </a:graphic>
          </wp:inline>
        </w:drawing>
      </w:r>
    </w:p>
    <w:p>
      <w:pPr>
        <w:pStyle w:val="Caption"/>
        <w:jc w:val="center"/>
      </w:pPr>
      <w:r>
        <w:t>Figure 13: Function domain and gradient surface</w:t>
      </w:r>
    </w:p>
    <w:p>
      <w:pPr>
        <w:pStyle w:val="Heading1"/>
        <w:jc w:val="center"/>
      </w:pPr>
      <w:r>
        <w:rPr>
          <w:rFonts w:ascii="Times New Roman" w:hAnsi="Times New Roman"/>
        </w:rPr>
        <w:t>Conclusion</w:t>
      </w:r>
    </w:p>
    <w:p>
      <w:pPr>
        <w:jc w:val="both"/>
      </w:pPr>
      <w:r>
        <w:rPr>
          <w:rFonts w:ascii="Times New Roman" w:hAnsi="Times New Roman"/>
          <w:b w:val="0"/>
          <w:i w:val="0"/>
          <w:sz w:val="24"/>
        </w:rPr>
        <w:t>Gradient Descent remains a cornerstone of optimization despite limitations. Modern variants like Adam address many issues, enabling training of large-scale models.</w:t>
        <w:br/>
        <w:br/>
        <w:t>For implementation, monitor cost curves and adjust hyperparameters accordingly.</w:t>
      </w:r>
    </w:p>
    <w:sectPr w:rsidR="00FC693F" w:rsidRPr="0006063C" w:rsidSect="00034616">
      <w:pgSz w:w="12240" w:h="15840"/>
      <w:pgMar w:top="1440" w:right="1800" w:bottom="1440" w:left="1800" w:header="720" w:footer="720" w:gutter="0"/>
      <w:cols w:space="720"/>
      <w:docGrid w:linePitch="360"/>
      <w:cols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