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72"/>
        </w:rPr>
        <w:t>Gradient Descent: Theory and Implementation</w:t>
      </w:r>
    </w:p>
    <w:p>
      <w:pPr>
        <w:jc w:val="center"/>
      </w:pPr>
      <w:r>
        <w:rPr>
          <w:rFonts w:ascii="Times New Roman" w:hAnsi="Times New Roman"/>
          <w:i/>
          <w:sz w:val="24"/>
        </w:rPr>
        <w:t>A Comprehensive Guide</w:t>
      </w:r>
    </w:p>
    <w:p>
      <w:pPr>
        <w:jc w:val="center"/>
      </w:pPr>
      <w:r>
        <w:rPr>
          <w:rFonts w:ascii="Times New Roman" w:hAnsi="Times New Roman"/>
          <w:sz w:val="24"/>
        </w:rPr>
        <w:t>Exploring the mathematics and practical applications of gradient descent algorithms</w:t>
      </w:r>
    </w:p>
    <w:p>
      <w:pPr>
        <w:jc w:val="center"/>
      </w:pPr>
      <w:r>
        <w:rPr>
          <w:rFonts w:ascii="Times New Roman" w:hAnsi="Times New Roman"/>
          <w:sz w:val="24"/>
        </w:rPr>
        <w:t>Autor: Maru</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Introduction to Gradient Descent</w:t>
      </w:r>
    </w:p>
    <w:p>
      <w:pPr>
        <w:jc w:val="both"/>
      </w:pPr>
      <w:r>
        <w:rPr>
          <w:rFonts w:ascii="Times New Roman" w:hAnsi="Times New Roman"/>
          <w:b w:val="0"/>
          <w:i w:val="0"/>
          <w:sz w:val="24"/>
        </w:rPr>
        <w:t>Gradient descent is an optimization algorithm used to minimize a function by iteratively moving in the direction of the steepest descent, as defined by the negative gradient. This method is widely used in machine learning for training models, especially in linear regression and neural networks.</w:t>
      </w:r>
    </w:p>
    <w:p>
      <w:pPr>
        <w:pStyle w:val="Caption"/>
        <w:jc w:val="center"/>
      </w:pPr>
      <w:r>
        <w:t>Comparison of Gradient Descent Types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rPr>
              <w:t>Type</w:t>
            </w:r>
          </w:p>
        </w:tc>
        <w:tc>
          <w:tcPr>
            <w:tcW w:type="dxa" w:w="2160"/>
          </w:tcPr>
          <w:p>
            <w:r>
              <w:rPr>
                <w:rFonts w:ascii="Times New Roman" w:hAnsi="Times New Roman"/>
              </w:rPr>
              <w:t>Description</w:t>
            </w:r>
          </w:p>
        </w:tc>
        <w:tc>
          <w:tcPr>
            <w:tcW w:type="dxa" w:w="2160"/>
          </w:tcPr>
          <w:p>
            <w:r>
              <w:rPr>
                <w:rFonts w:ascii="Times New Roman" w:hAnsi="Times New Roman"/>
              </w:rPr>
              <w:t>Advantages</w:t>
            </w:r>
          </w:p>
        </w:tc>
        <w:tc>
          <w:tcPr>
            <w:tcW w:type="dxa" w:w="2160"/>
          </w:tcPr>
          <w:p>
            <w:r>
              <w:rPr>
                <w:rFonts w:ascii="Times New Roman" w:hAnsi="Times New Roman"/>
              </w:rPr>
              <w:t>Disadvantages</w:t>
            </w:r>
          </w:p>
        </w:tc>
      </w:tr>
      <w:tr>
        <w:tc>
          <w:tcPr>
            <w:tcW w:type="dxa" w:w="2160"/>
          </w:tcPr>
          <w:p>
            <w:r>
              <w:rPr>
                <w:rFonts w:ascii="Times New Roman" w:hAnsi="Times New Roman"/>
              </w:rPr>
              <w:t>Batch</w:t>
            </w:r>
          </w:p>
        </w:tc>
        <w:tc>
          <w:tcPr>
            <w:tcW w:type="dxa" w:w="2160"/>
          </w:tcPr>
          <w:p>
            <w:r>
              <w:rPr>
                <w:rFonts w:ascii="Times New Roman" w:hAnsi="Times New Roman"/>
              </w:rPr>
              <w:t>Uses all training data for each update</w:t>
            </w:r>
          </w:p>
        </w:tc>
        <w:tc>
          <w:tcPr>
            <w:tcW w:type="dxa" w:w="2160"/>
          </w:tcPr>
          <w:p>
            <w:r>
              <w:rPr>
                <w:rFonts w:ascii="Times New Roman" w:hAnsi="Times New Roman"/>
              </w:rPr>
              <w:t>Stable convergence</w:t>
            </w:r>
          </w:p>
        </w:tc>
        <w:tc>
          <w:tcPr>
            <w:tcW w:type="dxa" w:w="2160"/>
          </w:tcPr>
          <w:p>
            <w:r>
              <w:rPr>
                <w:rFonts w:ascii="Times New Roman" w:hAnsi="Times New Roman"/>
              </w:rPr>
              <w:t>Computationally expensive</w:t>
            </w:r>
          </w:p>
        </w:tc>
      </w:tr>
      <w:tr>
        <w:tc>
          <w:tcPr>
            <w:tcW w:type="dxa" w:w="2160"/>
          </w:tcPr>
          <w:p>
            <w:r>
              <w:rPr>
                <w:rFonts w:ascii="Times New Roman" w:hAnsi="Times New Roman"/>
              </w:rPr>
              <w:t>Stochastic</w:t>
            </w:r>
          </w:p>
        </w:tc>
        <w:tc>
          <w:tcPr>
            <w:tcW w:type="dxa" w:w="2160"/>
          </w:tcPr>
          <w:p>
            <w:r>
              <w:rPr>
                <w:rFonts w:ascii="Times New Roman" w:hAnsi="Times New Roman"/>
              </w:rPr>
              <w:t>Uses single data point per update</w:t>
            </w:r>
          </w:p>
        </w:tc>
        <w:tc>
          <w:tcPr>
            <w:tcW w:type="dxa" w:w="2160"/>
          </w:tcPr>
          <w:p>
            <w:r>
              <w:rPr>
                <w:rFonts w:ascii="Times New Roman" w:hAnsi="Times New Roman"/>
              </w:rPr>
              <w:t>Fast convergence</w:t>
            </w:r>
          </w:p>
        </w:tc>
        <w:tc>
          <w:tcPr>
            <w:tcW w:type="dxa" w:w="2160"/>
          </w:tcPr>
          <w:p>
            <w:r>
              <w:rPr>
                <w:rFonts w:ascii="Times New Roman" w:hAnsi="Times New Roman"/>
              </w:rPr>
              <w:t>Noisy updates</w:t>
            </w:r>
          </w:p>
        </w:tc>
      </w:tr>
      <w:tr>
        <w:tc>
          <w:tcPr>
            <w:tcW w:type="dxa" w:w="2160"/>
          </w:tcPr>
          <w:p>
            <w:r>
              <w:rPr>
                <w:rFonts w:ascii="Times New Roman" w:hAnsi="Times New Roman"/>
              </w:rPr>
              <w:t>Mini-batch</w:t>
            </w:r>
          </w:p>
        </w:tc>
        <w:tc>
          <w:tcPr>
            <w:tcW w:type="dxa" w:w="2160"/>
          </w:tcPr>
          <w:p>
            <w:r>
              <w:rPr>
                <w:rFonts w:ascii="Times New Roman" w:hAnsi="Times New Roman"/>
              </w:rPr>
              <w:t>Uses small batches</w:t>
            </w:r>
          </w:p>
        </w:tc>
        <w:tc>
          <w:tcPr>
            <w:tcW w:type="dxa" w:w="2160"/>
          </w:tcPr>
          <w:p>
            <w:r>
              <w:rPr>
                <w:rFonts w:ascii="Times New Roman" w:hAnsi="Times New Roman"/>
              </w:rPr>
              <w:t>Balances speed and stability</w:t>
            </w:r>
          </w:p>
        </w:tc>
        <w:tc>
          <w:tcPr>
            <w:tcW w:type="dxa" w:w="2160"/>
          </w:tcPr>
          <w:p>
            <w:r>
              <w:rPr>
                <w:rFonts w:ascii="Times New Roman" w:hAnsi="Times New Roman"/>
              </w:rPr>
              <w:t>Requires tuning of batch size</w:t>
            </w:r>
          </w:p>
        </w:tc>
      </w:tr>
    </w:tbl>
    <w:p>
      <w:pPr>
        <w:jc w:val="center"/>
      </w:pPr>
      <w:r>
        <w:drawing>
          <wp:inline xmlns:a="http://schemas.openxmlformats.org/drawingml/2006/main" xmlns:pic="http://schemas.openxmlformats.org/drawingml/2006/picture">
            <wp:extent cx="2286000" cy="14889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488928"/>
                    </a:xfrm>
                    <a:prstGeom prst="rect"/>
                  </pic:spPr>
                </pic:pic>
              </a:graphicData>
            </a:graphic>
          </wp:inline>
        </w:drawing>
      </w:r>
    </w:p>
    <w:p>
      <w:pPr>
        <w:pStyle w:val="Caption"/>
        <w:jc w:val="center"/>
      </w:pPr>
      <w:r>
        <w:t>Gradient descent in a 2D cost function</w:t>
      </w:r>
    </w:p>
    <w:p>
      <w:pPr>
        <w:pStyle w:val="Heading1"/>
        <w:jc w:val="center"/>
      </w:pPr>
      <w:r>
        <w:rPr>
          <w:rFonts w:ascii="Times New Roman" w:hAnsi="Times New Roman"/>
        </w:rPr>
        <w:t>Mathematical Foundations</w:t>
      </w:r>
    </w:p>
    <w:p>
      <m:oMath>
        <m:box>
          <m:e>
            <m:sSub>
              <m:e>
                <m:r>
                  <m:rPr>
                    <m:sty m:val="i"/>
                  </m:rPr>
                  <m:t>θ</m:t>
                </m:r>
              </m:e>
              <m:sub>
                <m:box>
                  <m:e>
                    <m:r>
                      <m:rPr>
                        <m:sty m:val="i"/>
                      </m:rPr>
                      <m:t>t</m:t>
                    </m:r>
                    <m:r>
                      <m:rPr>
                        <m:sty m:val="p"/>
                      </m:rPr>
                      <m:t>+</m:t>
                    </m:r>
                    <m:r>
                      <m:rPr>
                        <m:sty m:val="p"/>
                      </m:rPr>
                      <m:t>1</m:t>
                    </m:r>
                  </m:e>
                </m:box>
              </m:sub>
            </m:sSub>
            <m:r>
              <m:rPr>
                <m:sty m:val="p"/>
              </m:rPr>
              <m:t>=</m:t>
            </m:r>
            <m:sSub>
              <m:e>
                <m:r>
                  <m:rPr>
                    <m:sty m:val="i"/>
                  </m:rPr>
                  <m:t>θ</m:t>
                </m:r>
              </m:e>
              <m:sub>
                <m:r>
                  <m:rPr>
                    <m:sty m:val="i"/>
                  </m:rPr>
                  <m:t>t</m:t>
                </m:r>
              </m:sub>
            </m:sSub>
            <m:r>
              <m:rPr>
                <m:sty m:val="p"/>
              </m:rPr>
              <m:t>−</m:t>
            </m:r>
            <m:r>
              <m:rPr>
                <m:sty m:val="i"/>
              </m:rPr>
              <m:t>α</m:t>
            </m:r>
            <m:r>
              <m:rPr>
                <m:sty m:val="p"/>
              </m:rPr>
              <m:t>∇</m:t>
            </m:r>
            <m:r>
              <m:rPr>
                <m:sty m:val="i"/>
              </m:rPr>
              <m:t>J</m:t>
            </m:r>
            <m:r>
              <m:rPr>
                <m:sty m:val="p"/>
              </m:rPr>
              <m:t>(</m:t>
            </m:r>
            <m:sSub>
              <m:e>
                <m:r>
                  <m:rPr>
                    <m:sty m:val="i"/>
                  </m:rPr>
                  <m:t>θ</m:t>
                </m:r>
              </m:e>
              <m:sub>
                <m:r>
                  <m:rPr>
                    <m:sty m:val="i"/>
                  </m:rPr>
                  <m:t>t</m:t>
                </m:r>
              </m:sub>
            </m:sSub>
            <m:r>
              <m:rPr>
                <m:sty m:val="p"/>
              </m:rPr>
              <m:t>)</m:t>
            </m:r>
          </m:e>
        </m:box>
      </m:oMath>
    </w:p>
    <w:p>
      <w:pPr>
        <w:pStyle w:val="Caption"/>
        <w:jc w:val="center"/>
      </w:pPr>
      <w:r>
        <w:t>Gradient descent update rule</w:t>
      </w:r>
    </w:p>
    <w:p>
      <w:pPr>
        <w:jc w:val="center"/>
      </w:pPr>
      <w:r>
        <w:drawing>
          <wp:inline xmlns:a="http://schemas.openxmlformats.org/drawingml/2006/main" xmlns:pic="http://schemas.openxmlformats.org/drawingml/2006/picture">
            <wp:extent cx="2286000" cy="12691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269191"/>
                    </a:xfrm>
                    <a:prstGeom prst="rect"/>
                  </pic:spPr>
                </pic:pic>
              </a:graphicData>
            </a:graphic>
          </wp:inline>
        </w:drawing>
      </w:r>
    </w:p>
    <w:p>
      <w:pPr>
        <w:pStyle w:val="Caption"/>
        <w:jc w:val="center"/>
      </w:pPr>
      <w:r>
        <w:t>Derivative concept in gradient descent</w:t>
      </w:r>
    </w:p>
    <w:p>
      <w:pPr>
        <w:jc w:val="center"/>
      </w:pPr>
      <w:r>
        <w:drawing>
          <wp:inline xmlns:a="http://schemas.openxmlformats.org/drawingml/2006/main" xmlns:pic="http://schemas.openxmlformats.org/drawingml/2006/picture">
            <wp:extent cx="2286000" cy="126811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268110"/>
                    </a:xfrm>
                    <a:prstGeom prst="rect"/>
                  </pic:spPr>
                </pic:pic>
              </a:graphicData>
            </a:graphic>
          </wp:inline>
        </w:drawing>
      </w:r>
    </w:p>
    <w:p>
      <w:pPr>
        <w:pStyle w:val="Caption"/>
        <w:jc w:val="center"/>
      </w:pPr>
      <w:r>
        <w:t>Area under the curve for integral approximation</w:t>
      </w:r>
    </w:p>
    <w:p>
      <w:pPr>
        <w:pStyle w:val="Heading1"/>
        <w:jc w:val="center"/>
      </w:pPr>
      <w:r>
        <w:rPr>
          <w:rFonts w:ascii="Times New Roman" w:hAnsi="Times New Roman"/>
        </w:rPr>
        <w:t>Types of Gradient Descent</w:t>
      </w:r>
    </w:p>
    <w:p>
      <w:pPr>
        <w:jc w:val="center"/>
      </w:pPr>
      <w:r>
        <w:drawing>
          <wp:inline xmlns:a="http://schemas.openxmlformats.org/drawingml/2006/main" xmlns:pic="http://schemas.openxmlformats.org/drawingml/2006/picture">
            <wp:extent cx="2286000" cy="141722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417222"/>
                    </a:xfrm>
                    <a:prstGeom prst="rect"/>
                  </pic:spPr>
                </pic:pic>
              </a:graphicData>
            </a:graphic>
          </wp:inline>
        </w:drawing>
      </w:r>
    </w:p>
    <w:p>
      <w:pPr>
        <w:pStyle w:val="Caption"/>
        <w:jc w:val="center"/>
      </w:pPr>
      <w:r>
        <w:t>Stochastic Gradient Descent visualization</w:t>
      </w:r>
    </w:p>
    <w:p>
      <w:pPr>
        <w:jc w:val="center"/>
      </w:pPr>
      <w:r>
        <w:drawing>
          <wp:inline xmlns:a="http://schemas.openxmlformats.org/drawingml/2006/main" xmlns:pic="http://schemas.openxmlformats.org/drawingml/2006/picture">
            <wp:extent cx="2286000" cy="97202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972024"/>
                    </a:xfrm>
                    <a:prstGeom prst="rect"/>
                  </pic:spPr>
                </pic:pic>
              </a:graphicData>
            </a:graphic>
          </wp:inline>
        </w:drawing>
      </w:r>
    </w:p>
    <w:p>
      <w:pPr>
        <w:pStyle w:val="Caption"/>
        <w:jc w:val="center"/>
      </w:pPr>
      <w:r>
        <w:t>Learning rate impact on convergence</w:t>
      </w:r>
    </w:p>
    <w:p>
      <w:pPr>
        <w:jc w:val="center"/>
      </w:pPr>
      <w:r>
        <w:drawing>
          <wp:inline xmlns:a="http://schemas.openxmlformats.org/drawingml/2006/main" xmlns:pic="http://schemas.openxmlformats.org/drawingml/2006/picture">
            <wp:extent cx="2286000" cy="103068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030682"/>
                    </a:xfrm>
                    <a:prstGeom prst="rect"/>
                  </pic:spPr>
                </pic:pic>
              </a:graphicData>
            </a:graphic>
          </wp:inline>
        </w:drawing>
      </w:r>
    </w:p>
    <w:p>
      <w:pPr>
        <w:pStyle w:val="Caption"/>
        <w:jc w:val="center"/>
      </w:pPr>
      <w:r>
        <w:t>Comparison of different gradient descent methods</w:t>
      </w:r>
    </w:p>
    <w:p>
      <w:pPr>
        <w:pStyle w:val="Heading1"/>
        <w:jc w:val="center"/>
      </w:pPr>
      <w:r>
        <w:rPr>
          <w:rFonts w:ascii="Times New Roman" w:hAnsi="Times New Roman"/>
        </w:rPr>
        <w:t>Common Pitfalls and Solutions</w:t>
      </w:r>
    </w:p>
    <w:p>
      <w:pPr>
        <w:jc w:val="center"/>
      </w:pPr>
      <w:r>
        <w:drawing>
          <wp:inline xmlns:a="http://schemas.openxmlformats.org/drawingml/2006/main" xmlns:pic="http://schemas.openxmlformats.org/drawingml/2006/picture">
            <wp:extent cx="2286000" cy="110164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101646"/>
                    </a:xfrm>
                    <a:prstGeom prst="rect"/>
                  </pic:spPr>
                </pic:pic>
              </a:graphicData>
            </a:graphic>
          </wp:inline>
        </w:drawing>
      </w:r>
    </w:p>
    <w:p>
      <w:pPr>
        <w:pStyle w:val="Caption"/>
        <w:jc w:val="center"/>
      </w:pPr>
      <w:r>
        <w:t>Gradient descent pitfalls like local minima</w:t>
      </w:r>
    </w:p>
    <w:p>
      <w:pPr>
        <w:jc w:val="center"/>
      </w:pPr>
      <w:r>
        <w:drawing>
          <wp:inline xmlns:a="http://schemas.openxmlformats.org/drawingml/2006/main" xmlns:pic="http://schemas.openxmlformats.org/drawingml/2006/picture">
            <wp:extent cx="2286000" cy="67216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672166"/>
                    </a:xfrm>
                    <a:prstGeom prst="rect"/>
                  </pic:spPr>
                </pic:pic>
              </a:graphicData>
            </a:graphic>
          </wp:inline>
        </w:drawing>
      </w:r>
    </w:p>
    <w:p>
      <w:pPr>
        <w:pStyle w:val="Caption"/>
        <w:jc w:val="center"/>
      </w:pPr>
      <w:r>
        <w:t>2D gradient descent with multiple features</w:t>
      </w:r>
    </w:p>
    <w:p>
      <w:pPr>
        <w:jc w:val="center"/>
      </w:pPr>
      <w:r>
        <w:drawing>
          <wp:inline xmlns:a="http://schemas.openxmlformats.org/drawingml/2006/main" xmlns:pic="http://schemas.openxmlformats.org/drawingml/2006/picture">
            <wp:extent cx="2286000" cy="11767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1176790"/>
                    </a:xfrm>
                    <a:prstGeom prst="rect"/>
                  </pic:spPr>
                </pic:pic>
              </a:graphicData>
            </a:graphic>
          </wp:inline>
        </w:drawing>
      </w:r>
    </w:p>
    <w:p>
      <w:pPr>
        <w:pStyle w:val="Caption"/>
        <w:jc w:val="center"/>
      </w:pPr>
      <w:r>
        <w:t>First derivative test for minima</w:t>
      </w:r>
    </w:p>
    <w:p>
      <w:pPr>
        <w:jc w:val="center"/>
      </w:pPr>
      <w:r>
        <w:drawing>
          <wp:inline xmlns:a="http://schemas.openxmlformats.org/drawingml/2006/main" xmlns:pic="http://schemas.openxmlformats.org/drawingml/2006/picture">
            <wp:extent cx="2286000" cy="183995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1839951"/>
                    </a:xfrm>
                    <a:prstGeom prst="rect"/>
                  </pic:spPr>
                </pic:pic>
              </a:graphicData>
            </a:graphic>
          </wp:inline>
        </w:drawing>
      </w:r>
    </w:p>
    <w:p>
      <w:pPr>
        <w:pStyle w:val="Caption"/>
        <w:jc w:val="center"/>
      </w:pPr>
      <w:r>
        <w:t>Domain of the function in gradient descent</w:t>
      </w:r>
    </w:p>
    <w:p>
      <w:pPr>
        <w:jc w:val="both"/>
      </w:pPr>
      <w:r>
        <w:rPr>
          <w:rFonts w:ascii="Times New Roman" w:hAnsi="Times New Roman"/>
          <w:b w:val="0"/>
          <w:i w:val="0"/>
          <w:sz w:val="24"/>
        </w:rPr>
        <w:t>Gradient descent is a fundamental optimization technique in machine learning. By iteratively moving in the direction of the negative gradient, it efficiently minimizes the cost function. However, careful tuning of the learning rate and understanding the landscape of the cost function are crucial for successful implementation.</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