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TRAK-AI: an offline-first Edge–Fog–Cloud decision-support system with honesty-aware yield advisories for low-connectivity smallholder agriculture (winter wheat and sunflower, Trakya, Türkiye)</w:t>
      </w:r>
    </w:p>
    <w:p>
      <w:r>
        <w:rPr>
          <w:b/>
        </w:rPr>
        <w:t>Melih Kalkan</w:t>
      </w:r>
      <w:r>
        <w:t xml:space="preserve"> , </w:t>
      </w:r>
      <w:r>
        <w:rPr>
          <w:b/>
        </w:rPr>
        <w:t>Gülsüm Çiğdem Çavdaroğlu</w:t>
      </w:r>
      <w:r>
        <w:t xml:space="preserve"> </w:t>
      </w:r>
    </w:p>
    <w:p>
      <w:r>
        <w:t xml:space="preserve"> Işık University, Department of Management Information Systems, İstanbul, Türkiye</w:t>
      </w:r>
    </w:p>
    <w:p>
      <w:r>
        <w:t>[DEĞER DOĞRULANACAK: full postal street address + postal code]</w:t>
      </w:r>
    </w:p>
    <w:p>
      <w:r>
        <w:t>* Corresponding author. E-mail: melihkalkan4@outlook.com (M. Kalkan)</w:t>
      </w:r>
    </w:p>
    <w:p>
      <w:r>
        <w:t>[N: CEA prefers an institutional e-mail — substitute an @isikun.edu.tr address if available]</w:t>
      </w:r>
    </w:p>
    <w:p>
      <w:r>
        <w:t>ORCID — M. Kalkan: 0009-0004-7719-5333 [V]; G. Ç. Çavdaroğlu: 0000-0002-4875-4800 [V]</w:t>
      </w:r>
    </w:p>
    <w:p>
      <w:pPr>
        <w:pStyle w:val="Heading2"/>
      </w:pPr>
      <w:r>
        <w:rPr>
          <w:rFonts w:ascii="Times New Roman" w:hAnsi="Times New Roman"/>
          <w:color w:val="000000"/>
        </w:rPr>
        <w:t>Abstract</w:t>
      </w:r>
    </w:p>
    <w:p>
      <w:r>
        <w:t>Precision-agriculture decision-support systems are often reported with strong cross-validated model</w:t>
      </w:r>
    </w:p>
    <w:p>
      <w:r>
        <w:t>accuracy, yet their operational value in smallholder regions is constrained by two under-examined factors:</w:t>
      </w:r>
    </w:p>
    <w:p>
      <w:r>
        <w:t>whether that accuracy reflects genuine out-of-year forecasting skill, and whether the system can run in the</w:t>
      </w:r>
    </w:p>
    <w:p>
      <w:r>
        <w:t>field without reliable connectivity. This paper presents TRAK-AI, an offline-first Edge–Fog–Cloud</w:t>
      </w:r>
    </w:p>
    <w:p>
      <w:r>
        <w:t>decision-support system for winter wheat and oilseed sunflower across 29 districts of Trakya, Türkiye. A</w:t>
      </w:r>
    </w:p>
    <w:p>
      <w:r>
        <w:t>low-cost ESP32 field rover acquires in-situ soil, atmospheric, positional and image data over MQTT; a</w:t>
      </w:r>
    </w:p>
    <w:p>
      <w:r>
        <w:t>laptop-class fog tier performs seven-day NDVI forecasting, layered district-yield estimation, YOLOv8 crop-</w:t>
      </w:r>
    </w:p>
    <w:p>
      <w:r>
        <w:t>health classification and a Turkish-language retrieval-augmented advisory with a locally hosted Gemma-3-4B</w:t>
      </w:r>
    </w:p>
    <w:p>
      <w:r>
        <w:t>language model; and the cloud tier is used only for cache-backed acquisition of Sentinel-2, ERA5-Land and</w:t>
      </w:r>
    </w:p>
    <w:p>
      <w:r>
        <w:t>SoilGrids inputs, so the full decision loop runs on CPU-only hardware without a network once inputs are</w:t>
      </w:r>
    </w:p>
    <w:p>
      <w:r>
        <w:t>cached, completing end-to-end in 27.1 s. Guided by a companion cross-validation audit, the system encodes</w:t>
      </w:r>
    </w:p>
    <w:p>
      <w:r>
        <w:t>an honesty-aware design: it defaults winter-wheat yield to a climatology baseline that no machine-learning</w:t>
      </w:r>
    </w:p>
    <w:p>
      <w:r>
        <w:t>configuration beats out-of-year, reports NDVI forecasts (R² 0.75 wheat, 0.80 sunflower) alongside a</w:t>
      </w:r>
    </w:p>
    <w:p>
      <w:r>
        <w:t>forward-validation result in which a naïve persistence baseline is not beaten, and discloses the prototype</w:t>
      </w:r>
    </w:p>
    <w:p>
      <w:r>
        <w:t>or placeholder status of its edge-vision components. A single-session field reconnaissance on a real</w:t>
      </w:r>
    </w:p>
    <w:p>
      <w:r>
        <w:t>surveyed parcel (163 telemetry records, 105 classified images) demonstrates the acquisition-to-advisory</w:t>
      </w:r>
    </w:p>
    <w:p>
      <w:r>
        <w:t>path on hardware. TRAK-AI's contribution is an honest, deployable integration rather than a new</w:t>
      </w:r>
    </w:p>
    <w:p>
      <w:r>
        <w:t>high-accuracy model.</w:t>
      </w:r>
    </w:p>
    <w:p>
      <w:pPr>
        <w:pStyle w:val="Heading2"/>
      </w:pPr>
      <w:r>
        <w:rPr>
          <w:rFonts w:ascii="Times New Roman" w:hAnsi="Times New Roman"/>
          <w:color w:val="000000"/>
        </w:rPr>
        <w:t>Keywords</w:t>
      </w:r>
    </w:p>
    <w:p>
      <w:r>
        <w:t>decision-support system; offline-first edge computing; retrieval-augmented generation; low-cost agricultural robot; forward validation; smallholder precision agriculture</w:t>
      </w:r>
    </w:p>
    <w:p>
      <w:pPr>
        <w:pStyle w:val="Heading2"/>
      </w:pPr>
      <w:r>
        <w:rPr>
          <w:rFonts w:ascii="Times New Roman" w:hAnsi="Times New Roman"/>
          <w:color w:val="000000"/>
        </w:rPr>
        <w:t>Highlights</w:t>
      </w:r>
    </w:p>
    <w:p>
      <w:pPr>
        <w:pStyle w:val="ListBullet"/>
      </w:pPr>
      <w:r>
        <w:t>Offline-first Edge–Fog–Cloud crop advisory runs on CPU with no network connection</w:t>
      </w:r>
    </w:p>
    <w:p>
      <w:pPr>
        <w:pStyle w:val="ListBullet"/>
      </w:pPr>
      <w:r>
        <w:t>Honesty-aware design defers winter-wheat yield to a climatology baseline</w:t>
      </w:r>
    </w:p>
    <w:p>
      <w:pPr>
        <w:pStyle w:val="ListBullet"/>
      </w:pPr>
      <w:r>
        <w:t>NDVI LSTM: R²=0.75 wheat, 0.80 sunflower; the full model race is reported</w:t>
      </w:r>
    </w:p>
    <w:p>
      <w:pPr>
        <w:pStyle w:val="ListBullet"/>
      </w:pPr>
      <w:r>
        <w:t>Persistence beats the frozen forecaster on a real parcel; reported openly</w:t>
      </w:r>
    </w:p>
    <w:p>
      <w:pPr>
        <w:pStyle w:val="ListBullet"/>
      </w:pPr>
      <w:r>
        <w:t>Turkish offline RAG advisory with a local LLM; 27 s end-to-end on CPU</w:t>
      </w:r>
    </w:p>
    <w:p>
      <w:r>
        <w:br w:type="page"/>
      </w:r>
    </w:p>
    <w:p>
      <w:pPr>
        <w:pStyle w:val="Heading1"/>
      </w:pPr>
      <w:r>
        <w:rPr>
          <w:rFonts w:ascii="Times New Roman" w:hAnsi="Times New Roman"/>
          <w:color w:val="000000"/>
        </w:rPr>
        <w:t>1. Introduction</w:t>
      </w:r>
    </w:p>
    <w:p>
      <w:r>
        <w:t>Satellite- and sensor-driven modelling of crop yield and crop condition has expanded rapidly, and</w:t>
      </w:r>
    </w:p>
    <w:p>
      <w:r>
        <w:t>machine-learning models are now routinely reported with strong predictive accuracy across cereals and</w:t>
      </w:r>
    </w:p>
    <w:p>
      <w:r>
        <w:t>oilseeds [P; van Klompenburg et al., 2020]. Yet the operational value of such models for a farmer or an</w:t>
      </w:r>
    </w:p>
    <w:p>
      <w:r>
        <w:t>extension service depends less on their headline cross-validated accuracy than on two properties that are</w:t>
      </w:r>
    </w:p>
    <w:p>
      <w:r>
        <w:t>often left implicit: whether the accuracy reflects genuine *forward* (out-of-year) skill rather than</w:t>
      </w:r>
    </w:p>
    <w:p>
      <w:r>
        <w:t>spatial interpolation between neighbouring fields in the same season, and whether the system that delivers</w:t>
      </w:r>
    </w:p>
    <w:p>
      <w:r>
        <w:t>the prediction can run where and when it is needed — in the field, on modest hardware, without a reliable</w:t>
      </w:r>
    </w:p>
    <w:p>
      <w:r>
        <w:t>network connection. In the plains of Trakya (the European part of Türkiye), a principal wheat- and</w:t>
      </w:r>
    </w:p>
    <w:p>
      <w:r>
        <w:t>sunflower-growing region of largely smallholder farms, both properties are binding constraints: cloud</w:t>
      </w:r>
    </w:p>
    <w:p>
      <w:r>
        <w:t>connectivity is intermittent, per-farm budgets are small, and the users are non-specialist producers who</w:t>
      </w:r>
    </w:p>
    <w:p>
      <w:r>
        <w:t>need an actionable answer in Turkish rather than a probability surface.</w:t>
      </w:r>
    </w:p>
    <w:p>
      <w:r>
        <w:t xml:space="preserve">Two gaps motivate this work. First, a </w:t>
      </w:r>
      <w:r>
        <w:rPr>
          <w:b/>
        </w:rPr>
        <w:t>validation gap</w:t>
      </w:r>
      <w:r>
        <w:t>: spatial or random cross-validation lets a model</w:t>
      </w:r>
    </w:p>
    <w:p>
      <w:r>
        <w:t>exploit structure shared between training and test locations within the same year, inflating apparent</w:t>
      </w:r>
    </w:p>
    <w:p>
      <w:r>
        <w:t>skill relative to the leave-one-year-out setting that actually matters for forecasting [P; Roberts et al.,</w:t>
      </w:r>
    </w:p>
    <w:p>
      <w:r>
        <w:t>2017; Ploton et al., 2020]. A companion methods paper audits this effect for the present region and crops</w:t>
      </w:r>
    </w:p>
    <w:p>
      <w:r>
        <w:t>and shows, under matched temporal and spatial cross-validation, a large and significant</w:t>
      </w:r>
    </w:p>
    <w:p>
      <w:r>
        <w:t>spatial-minus-temporal generalization gap, and that for winter wheat no machine-learning configuration</w:t>
      </w:r>
    </w:p>
    <w:p>
      <w:r>
        <w:t>beats a simple climatology baseline out-of-year, whereas a multimodal model does add skill for sunflower</w:t>
      </w:r>
    </w:p>
    <w:p>
      <w:r>
        <w:t>[V-status; Kalkan and Çavdaroğlu, 2026b, under review]. The practical implication — that a decision-support</w:t>
      </w:r>
    </w:p>
    <w:p>
      <w:r>
        <w:t>system should not present cross-validated accuracy as operational skill, and should defer to transparent</w:t>
      </w:r>
    </w:p>
    <w:p>
      <w:r>
        <w:t>statistical baselines where machine learning does not demonstrably beat them — has, to our knowledge, not</w:t>
      </w:r>
    </w:p>
    <w:p>
      <w:r>
        <w:t xml:space="preserve">been embedded in the design of a deployed agricultural decision-support system. Second, a </w:t>
      </w:r>
      <w:r>
        <w:rPr>
          <w:b/>
        </w:rPr>
        <w:t>deployment</w:t>
      </w:r>
    </w:p>
    <w:p>
      <w:r>
        <w:t>gap</w:t>
      </w:r>
      <w:r>
        <w:rPr>
          <w:b/>
        </w:rPr>
        <w:t>: many precision-agriculture decision-support systems assume continuous cloud connectivity and</w:t>
      </w:r>
    </w:p>
    <w:p>
      <w:r>
        <w:t>server-side inference, which is a poor fit for low-connectivity smallholder settings and concentrates both</w:t>
      </w:r>
    </w:p>
    <w:p>
      <w:r>
        <w:t>cost and failure risk off-farm.</w:t>
      </w:r>
    </w:p>
    <w:p>
      <w:r>
        <w:t>This paper presents TRAK-AI, an offline-first Edge–Fog–Cloud decision-support system for winter wheat and</w:t>
      </w:r>
    </w:p>
    <w:p>
      <w:r>
        <w:t>sunflower in Trakya that addresses both gaps. Its contributions are:</w:t>
      </w:r>
    </w:p>
    <w:p>
      <w:pPr>
        <w:pStyle w:val="ListNumber"/>
      </w:pPr>
      <w:r>
        <w:t xml:space="preserve">an </w:t>
      </w:r>
      <w:r>
        <w:rPr>
          <w:b/>
        </w:rPr>
        <w:t>offline-first Edge–Fog–Cloud integration</w:t>
      </w:r>
      <w:r>
        <w:t xml:space="preserve"> in which a low-cost ESP32 field rover acquires in-situ</w:t>
      </w:r>
    </w:p>
    <w:p>
      <w:r>
        <w:t>data, a laptop-class fog tier performs all inference, retrieval and generation locally, and the cloud</w:t>
      </w:r>
    </w:p>
    <w:p>
      <w:r>
        <w:t>tier is used only for cache-backed acquisition of Earth-observation and reanalysis inputs — so the full</w:t>
      </w:r>
    </w:p>
    <w:p>
      <w:r>
        <w:t>decision loop runs without a network once inputs are cached;</w:t>
      </w:r>
    </w:p>
    <w:p>
      <w:pPr>
        <w:pStyle w:val="ListNumber"/>
      </w:pPr>
      <w:r>
        <w:t xml:space="preserve">an </w:t>
      </w:r>
      <w:r>
        <w:rPr>
          <w:b/>
        </w:rPr>
        <w:t>honesty-aware advisory design</w:t>
      </w:r>
      <w:r>
        <w:t xml:space="preserve"> that operationalises the "cross-validated accuracy ≠ operational</w:t>
      </w:r>
    </w:p>
    <w:p>
      <w:r>
        <w:t>skill" finding: the yield component defaults to a climatology baseline for winter wheat, surfaces</w:t>
      </w:r>
    </w:p>
    <w:p>
      <w:r>
        <w:t>machine-learning estimates with prediction intervals and an explicit forward-skill caveat, and reports</w:t>
      </w:r>
    </w:p>
    <w:p>
      <w:r>
        <w:t>a forward-validation result in which a naïve persistence baseline is not beaten;</w:t>
      </w:r>
    </w:p>
    <w:p>
      <w:pPr>
        <w:pStyle w:val="ListNumber"/>
      </w:pPr>
      <w:r>
        <w:t xml:space="preserve">a </w:t>
      </w:r>
      <w:r>
        <w:rPr>
          <w:b/>
        </w:rPr>
        <w:t>Turkish-language, offline retrieval-augmented advisory</w:t>
      </w:r>
      <w:r>
        <w:t xml:space="preserve"> combining hybrid dense/sparse retrieval</w:t>
      </w:r>
    </w:p>
    <w:p>
      <w:r>
        <w:t>over an agronomic corpus with a locally hosted large language model, producing actionable advice on</w:t>
      </w:r>
    </w:p>
    <w:p>
      <w:r>
        <w:t>CPU-only hardware;</w:t>
      </w:r>
    </w:p>
    <w:p>
      <w:pPr>
        <w:pStyle w:val="ListNumber"/>
      </w:pPr>
      <w:r>
        <w:t xml:space="preserve">a </w:t>
      </w:r>
      <w:r>
        <w:rPr>
          <w:b/>
        </w:rPr>
        <w:t>human-in-the-loop, offline-first data plane</w:t>
      </w:r>
      <w:r>
        <w:t xml:space="preserve"> (MQTT orchestration with an approval queue and a</w:t>
      </w:r>
    </w:p>
    <w:p>
      <w:r>
        <w:t>local SQLite store) that keeps a person in control of the data of record; and</w:t>
      </w:r>
    </w:p>
    <w:p>
      <w:pPr>
        <w:pStyle w:val="ListNumber"/>
      </w:pPr>
      <w:r>
        <w:t xml:space="preserve">a </w:t>
      </w:r>
      <w:r>
        <w:rPr>
          <w:b/>
        </w:rPr>
        <w:t>transparent evaluation</w:t>
      </w:r>
      <w:r>
        <w:t xml:space="preserve"> — including the disclosure of prototype and placeholder components — that</w:t>
      </w:r>
    </w:p>
    <w:p>
      <w:r>
        <w:t>treats honesty about component maturity as part of the contribution rather than a footnote.</w:t>
      </w:r>
    </w:p>
    <w:p>
      <w:r>
        <w:t>The remainder of the paper describes the system design (Section 2), evaluates it at component and</w:t>
      </w:r>
    </w:p>
    <w:p>
      <w:r>
        <w:t>end-to-end level including a field reconnaissance and an explicit transparency assessment (Section 3),</w:t>
      </w:r>
    </w:p>
    <w:p>
      <w:r>
        <w:t>discusses design lessons and limitations (Section 4), and concludes (Section 5).</w:t>
      </w:r>
    </w:p>
    <w:p>
      <w:pPr>
        <w:pStyle w:val="Heading1"/>
      </w:pPr>
      <w:r>
        <w:rPr>
          <w:rFonts w:ascii="Times New Roman" w:hAnsi="Times New Roman"/>
          <w:color w:val="000000"/>
        </w:rPr>
        <w:t>2. Materials and methods: system design</w:t>
      </w:r>
    </w:p>
    <w:p>
      <w:pPr>
        <w:pStyle w:val="Heading2"/>
      </w:pPr>
      <w:r>
        <w:rPr>
          <w:rFonts w:ascii="Times New Roman" w:hAnsi="Times New Roman"/>
          <w:color w:val="000000"/>
        </w:rPr>
        <w:t>2.1. Study area, users and design requirements</w:t>
      </w:r>
    </w:p>
    <w:p>
      <w:r>
        <w:t>TRAK-AI targets rain-fed winter wheat (*Triticum aestivum*) and oilseed sunflower (*Helianthus annuus*) production in Trakya, the European part of Türkiye, across the provinces of Edirne, Kırklareli and Tekirdağ. The retrospective modelling panel that underpins the system covers 29 districts over 2004–2025 (climate tier) and the 2017–2024 Sentinel-2 era for the vegetation and soil tiers [V; companion dataset, Kalkan and Çavdaroğlu, 2026a]. Operational development and field reconnaissance were carried out at a pilot parcel near Evrenli village (Vize, Kırklareli).</w:t>
      </w:r>
    </w:p>
    <w:p>
      <w:r>
        <w:t xml:space="preserve">The design was governed by four requirements derived from the smallholder context of the region: (i) </w:t>
      </w:r>
      <w:r>
        <w:rPr>
          <w:b/>
        </w:rPr>
        <w:t>offline-first operation</w:t>
      </w:r>
      <w:r>
        <w:t xml:space="preserve">, because field connectivity is intermittent and cloud dependence is a single point of failure; (ii) </w:t>
      </w:r>
      <w:r>
        <w:rPr>
          <w:b/>
        </w:rPr>
        <w:t>low unit cost</w:t>
      </w:r>
      <w:r>
        <w:t xml:space="preserve">, so that the field-acquisition node is affordable at farm scale (rover bill of materials ≈ 3,440 TL [P; companion hardware paper, in preparation]); (iii) </w:t>
      </w:r>
      <w:r>
        <w:rPr>
          <w:b/>
        </w:rPr>
        <w:t>Turkish-language, actionable advice</w:t>
      </w:r>
      <w:r>
        <w:t xml:space="preserve"> for non-expert users; and (iv) </w:t>
      </w:r>
      <w:r>
        <w:rPr>
          <w:b/>
        </w:rPr>
        <w:t>honesty-aware decision logic</w:t>
      </w:r>
      <w:r>
        <w:t xml:space="preserve"> — the system must not present cross-validated model accuracy as if it were operational forward skill, and must fall back to transparent statistical baselines where machine learning does not demonstrably beat them (Section 2.6). Requirement (iv) is a direct consequence of the validation audit reported in the companion methods paper [V-status; Kalkan and Çavdaroğlu, 2026b, under review].</w:t>
      </w:r>
    </w:p>
    <w:p>
      <w:pPr>
        <w:pStyle w:val="Heading2"/>
      </w:pPr>
      <w:r>
        <w:rPr>
          <w:rFonts w:ascii="Times New Roman" w:hAnsi="Times New Roman"/>
          <w:color w:val="000000"/>
        </w:rPr>
        <w:t>2.2. Edge–Fog–Cloud architecture</w:t>
      </w:r>
    </w:p>
    <w:p>
      <w:r>
        <w:t xml:space="preserve">TRAK-AI is organised into three tiers (Fig. 2). The </w:t>
      </w:r>
      <w:r>
        <w:rPr>
          <w:b/>
        </w:rPr>
        <w:t>edge tier</w:t>
      </w:r>
      <w:r>
        <w:t xml:space="preserve"> is a low-cost ground rover built around an ESP32-WROOM-32 microcontroller that acquires in-situ soil, atmospheric, positional and image data and transmits them over MQTT (Section 2.3). The </w:t>
      </w:r>
      <w:r>
        <w:rPr>
          <w:b/>
        </w:rPr>
        <w:t>fog tier</w:t>
      </w:r>
      <w:r>
        <w:t xml:space="preserve"> is a laptop-class host that runs the compute-intensive models — vegetation-index forecasting, yield estimation, crop-health image classification, the retrieval-augmented advisory engine and a local large language model — together with an MQTT orchestrator and an offline SQLite store (Sections 2.5–2.11). The </w:t>
      </w:r>
      <w:r>
        <w:rPr>
          <w:b/>
        </w:rPr>
        <w:t>cloud tier</w:t>
      </w:r>
      <w:r>
        <w:t xml:space="preserve"> is used only for periodic, cache-backed acquisition of Earth-observation and reanalysis inputs (Sentinel-2 via Google Earth Engine, ERA5-Land via the Copernicus Climate Data Store, and ISRIC SoilGrids; Section 2.4) and is entirely optional at run time: once inputs are cached, the fog tier operates without any network connection, and the local language model performs inference on CPU only.</w:t>
      </w:r>
    </w:p>
    <w:p>
      <w:r>
        <w:t>The tiers communicate through a local Mosquitto MQTT broker. The rover publishes telemetry to `trakaia/rover/data`; the orchestrator publishes advisories to `trakaia/kds/advisory` and, when human-in-the-loop approval is enabled, queues processed rows on `trakaia/db/pending` for review before they are written to the database (Section 2.10) [V; src/mqtt_orchestrator.py]. This separation lets the edge node continue buffering and forwarding telemetry during connectivity gaps while the fog tier remains the single writer of record.</w:t>
      </w:r>
    </w:p>
    <w:p>
      <w:pPr>
        <w:pStyle w:val="Heading2"/>
      </w:pPr>
      <w:r>
        <w:rPr>
          <w:rFonts w:ascii="Times New Roman" w:hAnsi="Times New Roman"/>
          <w:color w:val="000000"/>
        </w:rPr>
        <w:t>2.3. Edge tier: field rover and imaging node</w:t>
      </w:r>
    </w:p>
    <w:p>
      <w:r>
        <w:t>The rover firmware (C++/PlatformIO for the ESP32-WROOM-32) integrates a SEN0193 capacitive soil-moisture probe (GPIO 34, ADC1), a DHT22 air temperature/humidity sensor (GPIO 4), a forward HC-SR04 ultrasonic obstacle sensor (TRIG GPIO 5, ECHO GPIO 18), a GY-NEO6MV2 (NEO-6M) GPS receiver (UART2, 9600 baud) and an AI-Thinker ESP32-CAM (UART1, 115200 baud), with an L298N dual H-bridge driving a four-wheel platform [V; src/cp3_edge/trak_ai_rover/src/config.h]. Telemetry and MQTT publication run on a 30 s cycle in the active state. Connectivity resilience is provided by a SPIFFS store-and-forward buffer, so telemetry produced during offline periods is retransmitted when the link returns; the node also supports over-the-air firmware updates and a Telnet monitor [V; src/cp3_edge/trak_ai_rover/src/main.cpp].</w:t>
      </w:r>
    </w:p>
    <w:p>
      <w:r>
        <w:t xml:space="preserve">Two implementation details are disclosed for transparency. First, the SEN0193 unit used is a reversed-response clone (raw ADC increases with moisture), handled by an auto-detecting linear calibration (`DRY_RAW = 200`, `WET_RAW = 750`) rather than the nominal SEN0193 curve [V; config.h]. Second, and more importantly, </w:t>
      </w:r>
      <w:r>
        <w:rPr>
          <w:b/>
        </w:rPr>
        <w:t>the ESP32-CAM performs image capture and transmission only; it does not run an on-device classifier.</w:t>
      </w:r>
      <w:r>
        <w:t xml:space="preserve"> The `classify_image()` routine in the camera firmware is an explicit placeholder that maps JPEG byte-size to a fixed pseudo-class and confidence, and no TensorFlow-Lite-Micro model is deployed on the device [V; src/cp3_edge/esp32_cam/src/main.cpp, lines 119–146]. All crop-health inference is therefore performed at the fog tier on the captured JPEG (Section 2.7); the "edge–fog" split for vision is capture-at-edge, infer-at-fog by design.</w:t>
      </w:r>
    </w:p>
    <w:p>
      <w:r>
        <w:t>For transparency, the field-acquisition node is navigated and the database is seeded with demonstration coordinates near 41.045 N, 27.205 E for pilot sites EVR_01–EVR_05 [V; config.h WAYPOINTS; scripts/init_database.py INITIAL_TARLALAR]; these are explicit placeholder locations, not surveyed parcels. The single field-surveyed parcel used for the retrospective and forward-validation analyses (Sections 2.6 and 3.3) has GPS-surveyed corners with centroid 41.531 N, 27.861 E [V; companion dataset]. Throughout, the manuscript keeps the surveyed analysis parcel distinct from the demonstration pilot sites carried by the operational system, and does not present the placeholder coordinates as ground-truthed field locations.</w:t>
      </w:r>
    </w:p>
    <w:p>
      <w:pPr>
        <w:pStyle w:val="Heading2"/>
      </w:pPr>
      <w:r>
        <w:rPr>
          <w:rFonts w:ascii="Times New Roman" w:hAnsi="Times New Roman"/>
          <w:color w:val="000000"/>
        </w:rPr>
        <w:t>2.4. Cloud tier: multi-modal ETL and data fusion</w:t>
      </w:r>
    </w:p>
    <w:p>
      <w:r>
        <w:t xml:space="preserve">The acquisition pipeline fuses three sources into a daily master feature matrix for the pilot region over 2017–2024 [V; src/cp1_etl/main_etl_pipeline.py]: (i) Sentinel-2 L2A surface reflectance, retrieved in Google Earth Engine over a ~2 km bounding box around the pilot parcel and reduced to vegetation and water indices (NDVI, EVI, NDWI) with linear interpolation across cloud gaps; (ii) daily climate variables from </w:t>
      </w:r>
      <w:r>
        <w:rPr>
          <w:b/>
        </w:rPr>
        <w:t>ERA5-Land</w:t>
      </w:r>
      <w:r>
        <w:t xml:space="preserve"> via the Copernicus Climate Data Store; and (iii) static soil properties from ISRIC SoilGrids. Each source is fetched through a hash-keyed on-disk cache, so repeated runs and offline operation reuse stored responses rather than re-hitting the APIs [V; data/cache/api/]. The three streams are left-joined on date and gap-filled to produce the modelling feature set.</w:t>
      </w:r>
    </w:p>
    <w:p>
      <w:r>
        <w:t xml:space="preserve">The operational daily pipeline and the field-scale forward validation draw climate from </w:t>
      </w:r>
      <w:r>
        <w:rPr>
          <w:b/>
        </w:rPr>
        <w:t>ERA5-Land</w:t>
      </w:r>
      <w:r>
        <w:t xml:space="preserve"> (ECMWF, via the Copernicus Climate Data Store), and apply a documented ×12.5 correction to the ERA5-Land cumulative-precipitation channel to remove an accumulation artefact [V; src/cp1_etl/mod_era5_cds.py; docs/DOKUMANTASYON.md §C.2]. The 17-feature vegetation-forecasting input inherits these ERA5-Land variables (2 m temperature statistics, precipitation, shortwave radiation, evaporation, growing-degree-days and derived indices) [V; src/cp2_model/feature_names.json]. The retrospective district-level *yield* models and the companion dataset instead draw climate from </w:t>
      </w:r>
      <w:r>
        <w:rPr>
          <w:b/>
        </w:rPr>
        <w:t>NASA POWER (MERRA-2, NASA/GMAO)</w:t>
      </w:r>
      <w:r>
        <w:t xml:space="preserve"> — a pivot made for reliable district-scale access, with the two reanalyses treated as of comparable quality for agronomic variables [V; src/cp25/03_fetch_ilce_climate.py]. The two climate products are reported strictly in their own contexts — ERA5-Land for the daily operational pipeline (Sections 2.5 and 3.3) and NASA POWER for the retrospective district panel cited from the companion paper (Section 2.6) — and are never merged into a single feature set.</w:t>
      </w:r>
    </w:p>
    <w:p>
      <w:pPr>
        <w:pStyle w:val="Heading2"/>
      </w:pPr>
      <w:r>
        <w:rPr>
          <w:rFonts w:ascii="Times New Roman" w:hAnsi="Times New Roman"/>
          <w:color w:val="000000"/>
        </w:rPr>
        <w:t>2.5. Fog tier: NDVI forecasting</w:t>
      </w:r>
    </w:p>
    <w:p>
      <w:r>
        <w:t>Seven-day-ahead NDVI is forecast with a residual-delta formulation: the models predict the change in NDVI at horizon *t*+7 rather than its absolute level, which stabilises training against the strong seasonal signal. Four architectures are trained and compared per crop — a stacked LSTM, a convolutional LSTM (Conv1D + LSTM), a Bahdanau-style self-attention LSTM, and a gradient-boosted tree baseline (XGBoost) — all sharing a common 17-feature input over a 30-step temporal window [V; src/cp2_model/train_models_cp2.py]. The neural models use a fixed protocol (seed 42, up to 200 epochs, batch size 32, early stopping with patience 25, and learning-rate reduction on plateau with patience 10, 20 % held out for validation) and custom Keras layers registered for full save/load reproducibility [V; train_models_cp2.py]. The best architecture per crop is selected on held-out coefficient of determination and frozen for inference; the selection outcome and the full model race are reported in Section 3.1.</w:t>
      </w:r>
    </w:p>
    <w:p>
      <w:r>
        <w:rPr>
          <w:i/>
          <w:color w:val="707070"/>
          <w:sz w:val="18"/>
        </w:rPr>
        <w:t>» Disclosure: in the deployed inference path, when no live imagery is supplied alongside a rover advisory, the forecaster falls back to the last available training window (a fixed test-mode value) rather than a live prediction [V; src/cp2_model/inference_cp2.py, "no live data — using last training window"]. This is disclosed wherever NDVI values accompany rover telemetry in Section 3.</w:t>
      </w:r>
    </w:p>
    <w:p>
      <w:pPr>
        <w:pStyle w:val="Heading2"/>
      </w:pPr>
      <w:r>
        <w:rPr>
          <w:rFonts w:ascii="Times New Roman" w:hAnsi="Times New Roman"/>
          <w:color w:val="000000"/>
        </w:rPr>
        <w:t>2.6. Fog tier: yield estimation and honesty-aware baselines</w:t>
      </w:r>
    </w:p>
    <w:p>
      <w:r>
        <w:t>District-scale yield (kg da⁻¹) is estimated with a layered model that adds information progressively — climate only (tier A), climate + Sentinel-2 vegetation (tier B), and climate + vegetation + soil (tier C) — with a per-crop champion selected under temporal cross-validation and calibrated with a per-province bias correction and 1.96·RMSE prediction intervals [V; src/cp25/, models/cp25/champion_metadata.json].</w:t>
      </w:r>
    </w:p>
    <w:p>
      <w:r>
        <w:t xml:space="preserve">Crucially, the champion is selected against, and where necessary deferred to, transparent statistical baselines rather than being adopted by default. The companion methods paper established, under leave-one-year-out (temporal) versus leave-one-district-out (spatial) cross-validation on the same observations, that (a) a large, significant spatial-minus-temporal generalization gap exists for both crops, and (b) </w:t>
      </w:r>
      <w:r>
        <w:rPr>
          <w:b/>
        </w:rPr>
        <w:t>no machine-learning configuration beats a climatology baseline for winter wheat under temporal validation</w:t>
      </w:r>
      <w:r>
        <w:t>, whereas a multimodal model does add genuine skill for sunflower [V-status; Kalkan and Çavdaroğlu, 2026b, under review; these results are cited, not re-derived here]. TRAK-AI encodes this finding directly: for winter wheat the operational yield default is the climatology baseline, and machine-learning estimates are surfaced with their prediction intervals and an explicit forward-skill caveat, rather than as point forecasts implying operational accuracy. This is the concrete meaning of the honesty-aware requirement of Section 2.1. The quantitative yield-accuracy figures reported in Section 3.1 are the cross-validated district-level MAPE values from the layered pipeline; the smaller in-sample aggregate MAPE produced by an earlier eight-sample model is explicitly not used as a headline figure.</w:t>
      </w:r>
    </w:p>
    <w:p>
      <w:pPr>
        <w:pStyle w:val="Heading2"/>
      </w:pPr>
      <w:r>
        <w:rPr>
          <w:rFonts w:ascii="Times New Roman" w:hAnsi="Times New Roman"/>
          <w:color w:val="000000"/>
        </w:rPr>
        <w:t>2.7. Fog tier: crop-health image classification</w:t>
      </w:r>
    </w:p>
    <w:p>
      <w:r>
        <w:t>Captured field images are classified at the fog tier by a YOLOv8s-cls model into six classes — two disease classes (*downy mildew*, *rust*), two healthy classes (sunflower, wheat) and two stress classes (nutrient, drought) — each mapped to a decision-support action [V; src/image_classifier.py; model weights models/crop_health_best.pt, 10.3 MB]. When the classifier or its weights are unavailable, the pipeline falls back to a random mock label that is explicitly flagged as `mock` in the payload and tagged `[MOCK]` in the orchestrator log, so mock outputs are never silently mixed with real inference [V; image_classifier.py lines 170–184; mqtt_orchestrator.py line 482]. The overall and per-class accuracies, and an important overfitting caveat for the drought-stress class, are reported in Section 3.1.</w:t>
      </w:r>
    </w:p>
    <w:p>
      <w:pPr>
        <w:pStyle w:val="Heading2"/>
      </w:pPr>
      <w:r>
        <w:rPr>
          <w:rFonts w:ascii="Times New Roman" w:hAnsi="Times New Roman"/>
          <w:color w:val="000000"/>
        </w:rPr>
        <w:t>2.8. Fog tier: multi-modal consensus validation</w:t>
      </w:r>
    </w:p>
    <w:p>
      <w:r>
        <w:t xml:space="preserve">A cross-modal validator was designed to corroborate stress detections across three modalities — a satellite CNN (ResNet50), the field YOLOv8 classifier (Section 2.7), and a numerical LSTM-plus-climatology predictor — harmonised to a common four-class taxonomy and combined by a weighted-vote consensus engine [V; src/visual_validation/]. </w:t>
      </w:r>
      <w:r>
        <w:rPr>
          <w:b/>
        </w:rPr>
        <w:t>In the shipped system this operates as a two-of-three consensus:</w:t>
      </w:r>
      <w:r>
        <w:t xml:space="preserve"> the satellite CNN modality is an untrained stub (no `satellite_cnn_resnet50.pt` weights are present), so the satellite arm returns unavailable and the validator degrades to the field-image and numerical modalities [V; src/visual_validation/models/satellite_cnn.py; models/visual/ empty]. This degradation is disclosed here and wherever consensus results appear; the consensus decision logic itself (agreement typing, weighted vote, flagging) is fully implemented and unit-tested [V; tests/visual_validation/].</w:t>
      </w:r>
    </w:p>
    <w:p>
      <w:pPr>
        <w:pStyle w:val="Heading2"/>
      </w:pPr>
      <w:r>
        <w:rPr>
          <w:rFonts w:ascii="Times New Roman" w:hAnsi="Times New Roman"/>
          <w:color w:val="000000"/>
        </w:rPr>
        <w:t>2.9. Fog tier: Tri-RAG advisory and offline language model</w:t>
      </w:r>
    </w:p>
    <w:p>
      <w:r>
        <w:t xml:space="preserve">Actionable Turkish advice is produced by a retrieval-augmented generation layer over a local corpus of ~60 agronomic documents (FAO guidance, BBCH phenology, disease and irrigation references, national extension material) [V; src/cp4_rag/]. Retrieval is hybrid: a dense index (FAISS over `intfloat/multilingual-e5-small` embeddings, top-5) and a sparse index (BM25-Okapi, top-3) are merged, de-duplicated, and re-ranked by a lightweight boost for chunks retrieved by both routes before the top-2 chunks are passed to the generator [V; src/cp4_rag/config.py, retriever.py]. » Note: this final step is a merge-and-boost heuristic, </w:t>
      </w:r>
      <w:r>
        <w:rPr>
          <w:b/>
        </w:rPr>
        <w:t>not</w:t>
      </w:r>
      <w:r>
        <w:t xml:space="preserve"> a neural cross-encoder re-ranker, and is described as such. Generation uses a locally hosted Gemma-3-4B model served by Ollama (temperature 0.1, 4096-token context), so the advisory pipeline runs fully offline on CPU [V; config.py; src/cp4_rag/llm_engine.py]. » Disclosure: the current context builder injects a fixed SoilGrids soil profile into every advisory prompt rather than a per-parcel profile [V; llm_engine.py lines 360–365]. A full treatment of the retrieval design, corpus construction, latency and hallucination-resistance evaluation is reserved for a separate paper; only summary-level performance is reported here (Section 3.1, 3.4).</w:t>
      </w:r>
    </w:p>
    <w:p>
      <w:pPr>
        <w:pStyle w:val="Heading2"/>
      </w:pPr>
      <w:r>
        <w:rPr>
          <w:rFonts w:ascii="Times New Roman" w:hAnsi="Times New Roman"/>
          <w:color w:val="000000"/>
        </w:rPr>
        <w:t>2.10. Fog tier: MQTT orchestration and human-in-the-loop approval</w:t>
      </w:r>
    </w:p>
    <w:p>
      <w:r>
        <w:t>The orchestrator subscribes to rover telemetry, runs image classification, NDVI and yield inference, weather retrieval and an agronomic-calendar rule set, and then applies a rule-based anomaly detector (e.g. model-versus-sensor NDVI divergence, low-moisture persistence, high-confidence disease, phenology deviation, frost/heat/drought thresholds) before querying the Tri-RAG layer for advice [V; src/mqtt_orchestrator.py]. Repeated anomalies of the same type are throttled to at most one per 10 minutes to avoid alert fatigue [V; ANOMALY_THROTTLE_SEC = 600]. To keep a human in control of the data of record, an approval mode is enabled by default: processed rows are not written directly to the database but are published to `trakaia/db/pending` for review, and only approved rows are persisted [V; DASHBOARD_APPROVAL_MODE = True; DB_PENDING_TOPIC]. The broker keep-alive is set to 600 s so that long CPU-bound language-model calls do not drop the connection [V].</w:t>
      </w:r>
    </w:p>
    <w:p>
      <w:pPr>
        <w:pStyle w:val="Heading2"/>
      </w:pPr>
      <w:r>
        <w:rPr>
          <w:rFonts w:ascii="Times New Roman" w:hAnsi="Times New Roman"/>
          <w:color w:val="000000"/>
        </w:rPr>
        <w:t>2.11. Fog tier: offline-first storage and dashboard</w:t>
      </w:r>
    </w:p>
    <w:p>
      <w:r>
        <w:t>State is held in a single SQLite database (`data/trakai.db`, WAL mode, foreign keys enabled) whose production schema comprises field, sensor-reading, NDVI-prediction, yield-prediction and alert tables, with backward-compatibility views; the schema is authored by an idempotent bootstrapper that also seeds five demonstration pilot sites [V; scripts/init_database.py; src/database.py]. The offline-first contract is explicit: the weather, forward-validation and rover modules insert rows, the dashboards only read, and if the Earth-observation or weather services are unreachable the last cached rows still render [V; src/database.py]. » Note: an older mock-data audit document describes database-level mock seeders that no longer exist; the current database seeds only the five pilot sites (with the proxy coordinates flagged in Section 2.3) and runs no synthetic data producer [V; grep of src/database.py; docs/MOCK_DATA_AUDIT.md §3.1 is stale].</w:t>
      </w:r>
    </w:p>
    <w:p>
      <w:r>
        <w:t>The user interface is a single-entry Streamlit application (nine tabs: overview, field detail, rover, field report, chat advisory, forward validation, cross-modal, weather, settings) that reads exclusively from the SQLite store and, on first load, triggers guarded background jobs to ensure predictions, validation artefacts and phenology are up to date [V; src/dashboard.py]. A separate Tkinter desktop application provides a live MQTT rover monitor for field runs [V; src/dashboard/dashboard.py]. Because inference, retrieval, generation and storage are all local, the complete decision-support loop — from rover telemetry to a Turkish advisory in the dashboard — executes without any external service once inputs are cached.</w:t>
      </w:r>
    </w:p>
    <w:p>
      <w:pPr>
        <w:pStyle w:val="Heading1"/>
      </w:pPr>
      <w:r>
        <w:rPr>
          <w:rFonts w:ascii="Times New Roman" w:hAnsi="Times New Roman"/>
          <w:color w:val="000000"/>
        </w:rPr>
        <w:t>3. Results: system evaluation</w:t>
      </w:r>
    </w:p>
    <w:p>
      <w:r>
        <w:t>The evaluation reports component-level performance (Section 3.1), end-to-end latency and offline</w:t>
      </w:r>
    </w:p>
    <w:p>
      <w:r>
        <w:t>operation (Section 3.2), the field reconnaissance campaign (Section 3.3), and — because it is central to</w:t>
      </w:r>
    </w:p>
    <w:p>
      <w:r>
        <w:t>the system's design stance — an explicit transparency assessment covering forward-skill, hypothesis</w:t>
      </w:r>
    </w:p>
    <w:p>
      <w:r>
        <w:t>status and disclosed non-operational components (Section 3.4). Unless noted, retrospective model figures</w:t>
      </w:r>
    </w:p>
    <w:p>
      <w:r>
        <w:t>are taken verbatim from the frozen result tables shipped with the project; the cross-validated yield and</w:t>
      </w:r>
    </w:p>
    <w:p>
      <w:r>
        <w:t>generalization-gap results are cited from the companion methods paper rather than re-derived here.</w:t>
      </w:r>
    </w:p>
    <w:p>
      <w:pPr>
        <w:pStyle w:val="Heading2"/>
      </w:pPr>
      <w:r>
        <w:rPr>
          <w:rFonts w:ascii="Times New Roman" w:hAnsi="Times New Roman"/>
          <w:color w:val="000000"/>
        </w:rPr>
        <w:t>3.1. Component performance</w:t>
      </w:r>
    </w:p>
    <w:p>
      <w:r>
        <w:rPr>
          <w:b/>
        </w:rPr>
        <w:t>NDVI forecasting.</w:t>
      </w:r>
      <w:r>
        <w:t xml:space="preserve"> For the seven-day-ahead residual-delta forecast, the stacked LSTM was the per-crop</w:t>
      </w:r>
    </w:p>
    <w:p>
      <w:r>
        <w:t>champion on held-out coefficient of determination: winter wheat R² = 0.752 (MAE 0.045, RMSE 0.057) and</w:t>
      </w:r>
    </w:p>
    <w:p>
      <w:r>
        <w:t>sunflower R² = 0.796 (0.7957; MAE 0.041, RMSE 0.051) [V; outputs/tables/cp2_model_karsilastirma.csv]. The</w:t>
      </w:r>
    </w:p>
    <w:p>
      <w:r>
        <w:t>full model race is close, and is reported in full rather than only for the winner: for wheat, Conv-LSTM</w:t>
      </w:r>
    </w:p>
    <w:p>
      <w:r>
        <w:t>0.715, Attention-LSTM 0.702 and XGBoost 0.701; for sunflower, XGBoost 0.791, Attention-LSTM 0.790 and</w:t>
      </w:r>
    </w:p>
    <w:p>
      <w:r>
        <w:t>Conv-LSTM 0.777 [V; same file]. We note one honesty caveat: when the same models are ranked by validation</w:t>
      </w:r>
    </w:p>
    <w:p>
      <w:r>
        <w:t>*loss* rather than R², the sunflower ordering flips (XGBoost attains a lower validation loss than the</w:t>
      </w:r>
    </w:p>
    <w:p>
      <w:r>
        <w:t>LSTM) [V; src/cp2_model/training_results.json]; the champion is selected on R²/MAE/RMSE, and the margin</w:t>
      </w:r>
    </w:p>
    <w:p>
      <w:r>
        <w:t>over XGBoost for sunflower is therefore narrow.</w:t>
      </w:r>
    </w:p>
    <w:p>
      <w:r>
        <w:rPr>
          <w:b/>
        </w:rPr>
        <w:t>Yield estimation.</w:t>
      </w:r>
      <w:r>
        <w:t xml:space="preserve"> District-scale yield was assessed with the layered pipeline under temporal</w:t>
      </w:r>
    </w:p>
    <w:p>
      <w:r>
        <w:t>(leave-one-year-out, LOYO) and spatial (leave-one-district-out, LOILO) cross-validation on the</w:t>
      </w:r>
    </w:p>
    <w:p>
      <w:r>
        <w:t>NDVI-era panel (n = 213 wheat, 209 sunflower district-years) [V; reports/cp25/07_layer_c_results.csv].</w:t>
      </w:r>
    </w:p>
    <w:p>
      <w:r>
        <w:t>The best Layer-C mean absolute percentage errors were, for wheat, 16.4 % (LOYO) and 10.6 % (LOILO), and</w:t>
      </w:r>
    </w:p>
    <w:p>
      <w:r>
        <w:t>for sunflower, 17.8 % (LOYO) and 13.5 % (LOILO) [V; same file: bugday xgboost 16.364/10.561; aycicegi gpr</w:t>
      </w:r>
    </w:p>
    <w:p>
      <w:r>
        <w:t>17.755/13.488]. The temporal (LOYO) errors are markedly larger than the spatial (LOILO) errors, and under</w:t>
      </w:r>
    </w:p>
    <w:p>
      <w:r>
        <w:t>LOYO the wheat models carry negative R² (e.g. Layer-C XGBoost R² = −0.311) — i.e. they do not out-predict</w:t>
      </w:r>
    </w:p>
    <w:p>
      <w:r>
        <w:t>a per-district climatological mean out-of-year. Consistent with this, the operational LOYO champion for</w:t>
      </w:r>
    </w:p>
    <w:p>
      <w:r>
        <w:t>wheat is the climatology baseline itself (R² = 0.213), which no machine-learning configuration beats,</w:t>
      </w:r>
    </w:p>
    <w:p>
      <w:r>
        <w:t>whereas for sunflower a multimodal Layer-C model does add skill (Gaussian-process regression R² = 0.386,</w:t>
      </w:r>
    </w:p>
    <w:p>
      <w:r>
        <w:t>skill score +0.225) [V; reports/cp25/12_master_comparison.csv]. The spatial-versus-temporal interpretation</w:t>
      </w:r>
    </w:p>
    <w:p>
      <w:r>
        <w:t>of this pattern — that spatial cross-validation systematically overstates the forward skill an operational</w:t>
      </w:r>
    </w:p>
    <w:p>
      <w:r>
        <w:t>forecast needs — is established and quantified in the companion methods paper and is cited, not re-derived,</w:t>
      </w:r>
    </w:p>
    <w:p>
      <w:r>
        <w:t>here [V-status; Kalkan and Çavdaroğlu, 2026b, under review].</w:t>
      </w:r>
    </w:p>
    <w:p>
      <w:r>
        <w:rPr>
          <w:i/>
          <w:color w:val="707070"/>
          <w:sz w:val="18"/>
        </w:rPr>
        <w:t>» Transparency note (do not delete): an earlier project test ledger reports a much smaller yield MAPE of</w:t>
      </w:r>
    </w:p>
    <w:p>
      <w:r>
        <w:t>5.1 % (wheat) and 7.3 % (sunflower) [V; outputs/reports/test_raporu.md]. Those figures come from an</w:t>
      </w:r>
    </w:p>
    <w:p>
      <w:r>
        <w:t>in-sample aggregate model fitted on only eight province-year points with negative R²</w:t>
      </w:r>
    </w:p>
    <w:p>
      <w:r>
        <w:t xml:space="preserve">(−0.47 / −0.36) [V; src/cp2_model/yield_meta_{wheat,sunflower}.json] and are </w:t>
      </w:r>
      <w:r>
        <w:rPr>
          <w:b/>
        </w:rPr>
        <w:t>not</w:t>
      </w:r>
      <w:r>
        <w:t xml:space="preserve"> used as headline</w:t>
      </w:r>
    </w:p>
    <w:p>
      <w:r>
        <w:t>accuracy here; the cross-validated district-level MAPEs above are the operative figures.</w:t>
      </w:r>
    </w:p>
    <w:p>
      <w:r>
        <w:rPr>
          <w:b/>
        </w:rPr>
        <w:t>Crop-health image classification.</w:t>
      </w:r>
      <w:r>
        <w:t xml:space="preserve"> The fog-tier YOLOv8s-cls model reached 94.9 % top-1 accuracy on the</w:t>
      </w:r>
    </w:p>
    <w:p>
      <w:r>
        <w:t>held-out validation set, with per-class accuracies of 98.0 % (healthy wheat), 100.0 % (healthy sunflower),</w:t>
      </w:r>
    </w:p>
    <w:p>
      <w:r>
        <w:t>91.0 % (rust), 99.1 % (downy mildew) and 85.2 % (nutrient stress) [V; outputs/reports/test_raporu.md].</w:t>
      </w:r>
    </w:p>
    <w:p>
      <w:r>
        <w:rPr>
          <w:b/>
        </w:rPr>
        <w:t>The drought-stress class reached 100.0 % but is flagged as overfit</w:t>
      </w:r>
      <w:r>
        <w:t>: it was evaluated on only 360</w:t>
      </w:r>
    </w:p>
    <w:p>
      <w:r>
        <w:t>images and is marked for re-training with data augmentation [V; same file, "stres_kuraklık overfit … veri</w:t>
      </w:r>
    </w:p>
    <w:p>
      <w:r>
        <w:t>artırma gerekli"]. This caveat is carried wherever the classifier is used. On real field imagery</w:t>
      </w:r>
    </w:p>
    <w:p>
      <w:r>
        <w:t>(distinct from the validation set), the deployed model classified field photographs at a mean confidence</w:t>
      </w:r>
    </w:p>
    <w:p>
      <w:r>
        <w:t>of 82.6 % [V; docs/TEZ_RAPORU_FINAL.md §4.1].</w:t>
      </w:r>
    </w:p>
    <w:p>
      <w:pPr>
        <w:pStyle w:val="Heading2"/>
      </w:pPr>
      <w:r>
        <w:rPr>
          <w:rFonts w:ascii="Times New Roman" w:hAnsi="Times New Roman"/>
          <w:color w:val="000000"/>
        </w:rPr>
        <w:t>3.2. End-to-end latency and offline operation</w:t>
      </w:r>
    </w:p>
    <w:p>
      <w:r>
        <w:t>The advisory pipeline was measured against a &lt; 120 s end-to-end target and met it with margin: a full</w:t>
      </w:r>
    </w:p>
    <w:p>
      <w:r>
        <w:t xml:space="preserve">rover-telemetry-to-Turkish-advisory cycle completed in </w:t>
      </w:r>
      <w:r>
        <w:rPr>
          <w:b/>
        </w:rPr>
        <w:t>27.1 s on CPU only</w:t>
      </w:r>
      <w:r>
        <w:t>, using the locally hosted</w:t>
      </w:r>
    </w:p>
    <w:p>
      <w:r>
        <w:t>Gemma-3-4B model [V; outputs/reports/test_raporu.md]. The retrieval corpus comprises 64 source documents</w:t>
      </w:r>
    </w:p>
    <w:p>
      <w:r>
        <w:t>chunked into 17,065 passages [V; src/cp4_rag/faiss_index/chunks_meta.json — actual store size; the</w:t>
      </w:r>
    </w:p>
    <w:p>
      <w:r>
        <w:t>project test headline states 17,059, a −6 discrepancy]. Retrieval returned the expected source for all ten</w:t>
      </w:r>
    </w:p>
    <w:p>
      <w:r>
        <w:t>evaluation queries (10/10) [V; outputs/reports/test_raporu.md; outputs/tables/rag_retrieval_testleri.csv].</w:t>
      </w:r>
    </w:p>
    <w:p>
      <w:r>
        <w:t>Two RAG evaluations remain open and are reported as pending rather than passed: the five-scenario</w:t>
      </w:r>
    </w:p>
    <w:p>
      <w:r>
        <w:t>hallucination-resistance test and the blinded expert farmer-language assessment [V; halusinasyon_testleri.csv].</w:t>
      </w:r>
    </w:p>
    <w:p>
      <w:r>
        <w:t>Because inference, retrieval, generation and storage are all local (Sections 2.9, 2.11), the full loop was</w:t>
      </w:r>
    </w:p>
    <w:p>
      <w:r>
        <w:t>verified to run with no external service once inputs are cached.</w:t>
      </w:r>
    </w:p>
    <w:p>
      <w:pPr>
        <w:pStyle w:val="Heading2"/>
      </w:pPr>
      <w:r>
        <w:rPr>
          <w:rFonts w:ascii="Times New Roman" w:hAnsi="Times New Roman"/>
          <w:color w:val="000000"/>
        </w:rPr>
        <w:t>3.3. Field reconnaissance (EVR_01, 27 May 2026)</w:t>
      </w:r>
    </w:p>
    <w:p>
      <w:r>
        <w:t>A hardware field reconnaissance was carried out at the pilot parcel EVR_01 (Evrenli, Vize) on 27 May 2026.</w:t>
      </w:r>
    </w:p>
    <w:p>
      <w:r>
        <w:t>The rover produced 163 telemetry records (soil moisture, air temperature/humidity, obstacle distance and</w:t>
      </w:r>
    </w:p>
    <w:p>
      <w:r>
        <w:t>GPS), captured over MQTT and ingested into the SQLite store, and 105 field images were captured and</w:t>
      </w:r>
    </w:p>
    <w:p>
      <w:r>
        <w:t>classified by the fog-tier model [V; scripts/rover_log_27may2026.txt = 163 `rover/data` lines;</w:t>
      </w:r>
    </w:p>
    <w:p>
      <w:r>
        <w:t>data/rover_images/27may2026/ = 105 JPEGs; data/rover_images/classified/]. This campaign is a</w:t>
      </w:r>
    </w:p>
    <w:p>
      <w:r>
        <w:t>single-session operational reconnaissance rather than a controlled accuracy trial; it demonstrates the</w:t>
      </w:r>
    </w:p>
    <w:p>
      <w:r>
        <w:t>end-to-end acquisition-to-storage path on real hardware and provides the field-image set used for the</w:t>
      </w:r>
    </w:p>
    <w:p>
      <w:r>
        <w:t>82.6 % mean-confidence classification reported in Section 3.1. » Note: the three additional rows in the</w:t>
      </w:r>
    </w:p>
    <w:p>
      <w:r>
        <w:t>telemetry table beyond the 163 field records are manual test inserts and are labelled as such</w:t>
      </w:r>
    </w:p>
    <w:p>
      <w:r>
        <w:t>[V; docs/RAPOR_2026-05-27.md].</w:t>
      </w:r>
    </w:p>
    <w:p>
      <w:pPr>
        <w:pStyle w:val="Heading2"/>
      </w:pPr>
      <w:r>
        <w:rPr>
          <w:rFonts w:ascii="Times New Roman" w:hAnsi="Times New Roman"/>
          <w:color w:val="000000"/>
        </w:rPr>
        <w:t>3.4. Transparency and honesty evaluation</w:t>
      </w:r>
    </w:p>
    <w:p>
      <w:r>
        <w:t>Consistent with the design premise (Section 2.1, 2.6), the system is evaluated for what it does *not*</w:t>
      </w:r>
    </w:p>
    <w:p>
      <w:r>
        <w:t>reliably do, not only for its successes.</w:t>
      </w:r>
    </w:p>
    <w:p>
      <w:r>
        <w:rPr>
          <w:b/>
        </w:rPr>
        <w:t>Forward skill versus persistence.</w:t>
      </w:r>
      <w:r>
        <w:t xml:space="preserve"> In forward-looking operational validation on the real surveyed</w:t>
      </w:r>
    </w:p>
    <w:p>
      <w:r>
        <w:t xml:space="preserve">parcel, the frozen NDVI forecaster did </w:t>
      </w:r>
      <w:r>
        <w:rPr>
          <w:b/>
        </w:rPr>
        <w:t>not</w:t>
      </w:r>
      <w:r>
        <w:t xml:space="preserve"> beat a naïve persistence baseline in any window</w:t>
      </w:r>
    </w:p>
    <w:p>
      <w:r>
        <w:t>[V; paper1_generalization/analysis/prospective_overall_real.csv]: for 2025 the model reached R² = 0.775</w:t>
      </w:r>
    </w:p>
    <w:p>
      <w:r>
        <w:t>(raw Sentinel-2 actuals) and 0.783 (interpolated) against persistence R² = 0.899 and 0.911; for the</w:t>
      </w:r>
    </w:p>
    <w:p>
      <w:r>
        <w:t>partial 2026 season the model fell to R² = −0.191 and −1.319 against persistence 0.540 and 0.490. Model</w:t>
      </w:r>
    </w:p>
    <w:p>
      <w:r>
        <w:t>absolute error exceeded persistence in every case, and a one-sided Wilcoxon test never favoured the model</w:t>
      </w:r>
    </w:p>
    <w:p>
      <w:r>
        <w:t>(p ≈ 1.0). This result is reported transparently and is consistent with the companion paper's forward-skill</w:t>
      </w:r>
    </w:p>
    <w:p>
      <w:r>
        <w:t>finding [V-status; Kalkan and Çavdaroğlu, 2026b].</w:t>
      </w:r>
    </w:p>
    <w:p>
      <w:r>
        <w:rPr>
          <w:b/>
        </w:rPr>
        <w:t>Hypothesis and test status.</w:t>
      </w:r>
      <w:r>
        <w:t xml:space="preserve"> The project's thesis-level hypotheses stand at four confirmed and two</w:t>
      </w:r>
    </w:p>
    <w:p>
      <w:r>
        <w:t>pending: hardware sufficiency, hybrid BBCH phenology consensus, field YOLOv8 confidence, and local-LLM</w:t>
      </w:r>
    </w:p>
    <w:p>
      <w:r>
        <w:t>advisory are confirmed; the target of ≤ 10 % Layer-C wheat LOILO yield error is pending (point estimate</w:t>
      </w:r>
    </w:p>
    <w:p>
      <w:r>
        <w:t>10.6 %, 95 % CI [9.1, 12.1] straddles the threshold) and the LLM hallucination-resistance / farmer-</w:t>
      </w:r>
    </w:p>
    <w:p>
      <w:r>
        <w:t>satisfaction hypothesis is pending [V; docs/TEZ_RAPORU_FINAL.md §6]. At the system-test level, 22</w:t>
      </w:r>
    </w:p>
    <w:p>
      <w:r>
        <w:t>integration tests resolve to 18 passed, 2 pending (hallucination test, blinded expert language</w:t>
      </w:r>
    </w:p>
    <w:p>
      <w:r>
        <w:t>assessment) and 2 partial (planting-window 5/6; drought-stress overfit) [V; outputs/reports/test_raporu.md].</w:t>
      </w:r>
    </w:p>
    <w:p>
      <w:r>
        <w:t>No hypothesis or test is reported as passed where the evidence is incomplete.</w:t>
      </w:r>
    </w:p>
    <w:p>
      <w:r>
        <w:rPr>
          <w:b/>
        </w:rPr>
        <w:t>Disclosed non-operational components.</w:t>
      </w:r>
      <w:r>
        <w:t xml:space="preserve"> Three components are prototypes or placeholders and are not</w:t>
      </w:r>
    </w:p>
    <w:p>
      <w:r>
        <w:t>claimed as operational (detailed in Section 2): the ESP32-CAM on-device classifier is a placeholder, so</w:t>
      </w:r>
    </w:p>
    <w:p>
      <w:r>
        <w:t>crop-health inference runs at the fog tier; the satellite-CNN modality of the cross-modal consensus is an</w:t>
      </w:r>
    </w:p>
    <w:p>
      <w:r>
        <w:t>untrained stub, so that validator operates as a two-of-three consensus; and the language-model advisory</w:t>
      </w:r>
    </w:p>
    <w:p>
      <w:r>
        <w:t>currently injects a fixed soil profile rather than a per-parcel one. Reporting these alongside the</w:t>
      </w:r>
    </w:p>
    <w:p>
      <w:r>
        <w:t>performance figures is deliberate: the contribution of TRAK-AI is an honest, offline-first integration,</w:t>
      </w:r>
    </w:p>
    <w:p>
      <w:r>
        <w:t>and its transparency about component maturity is part of that contribution.</w:t>
      </w:r>
    </w:p>
    <w:p>
      <w:pPr>
        <w:pStyle w:val="Heading1"/>
      </w:pPr>
      <w:r>
        <w:rPr>
          <w:rFonts w:ascii="Times New Roman" w:hAnsi="Times New Roman"/>
          <w:color w:val="000000"/>
        </w:rPr>
        <w:t>4. Discussion</w:t>
      </w:r>
    </w:p>
    <w:p>
      <w:pPr>
        <w:pStyle w:val="Heading2"/>
      </w:pPr>
      <w:r>
        <w:rPr>
          <w:rFonts w:ascii="Times New Roman" w:hAnsi="Times New Roman"/>
          <w:color w:val="000000"/>
        </w:rPr>
        <w:t>4.1. Honesty-aware design as the central contribution</w:t>
      </w:r>
    </w:p>
    <w:p>
      <w:r>
        <w:t>The main lesson of TRAK-AI is that the validation rigour usually confined to a methods paper can, and</w:t>
      </w:r>
    </w:p>
    <w:p>
      <w:r>
        <w:t>arguably should, be built into the decision-support system itself. Because the companion audit showed that</w:t>
      </w:r>
    </w:p>
    <w:p>
      <w:r>
        <w:t>no machine-learning configuration out-predicts a climatology baseline for winter wheat out-of-year, while</w:t>
      </w:r>
    </w:p>
    <w:p>
      <w:r>
        <w:t>a multimodal model does for sunflower (Section 3.1), the system does not present a single "AI yield" number</w:t>
      </w:r>
    </w:p>
    <w:p>
      <w:r>
        <w:t>with implied authority. Instead it defaults winter-wheat yield to the climatology baseline, attaches</w:t>
      </w:r>
    </w:p>
    <w:p>
      <w:r>
        <w:t>prediction intervals and a forward-skill caveat to machine-learning estimates, and — most tellingly —</w:t>
      </w:r>
    </w:p>
    <w:p>
      <w:r>
        <w:t>reports a forward-validation result in which the frozen NDVI forecaster fails to beat naïve persistence on</w:t>
      </w:r>
    </w:p>
    <w:p>
      <w:r>
        <w:t>the one real surveyed parcel (Section 3.4). A conventional system would have surfaced the 0.75–0.80 NDVI</w:t>
      </w:r>
    </w:p>
    <w:p>
      <w:r>
        <w:t>R² (Section 3.1) as a headline capability; ours reports it alongside the persistence comparison that</w:t>
      </w:r>
    </w:p>
    <w:p>
      <w:r>
        <w:t>contextualises it. This stance costs apparent performance but buys trustworthiness, which for a</w:t>
      </w:r>
    </w:p>
    <w:p>
      <w:r>
        <w:t>non-specialist user base is the more valuable currency.</w:t>
      </w:r>
    </w:p>
    <w:p>
      <w:pPr>
        <w:pStyle w:val="Heading2"/>
      </w:pPr>
      <w:r>
        <w:rPr>
          <w:rFonts w:ascii="Times New Roman" w:hAnsi="Times New Roman"/>
          <w:color w:val="000000"/>
        </w:rPr>
        <w:t>4.2. Offline-first integration for low-connectivity smallholder settings</w:t>
      </w:r>
    </w:p>
    <w:p>
      <w:r>
        <w:t>The engineering contribution is the offline-first Edge–Fog–Cloud integration. By performing all inference,</w:t>
      </w:r>
    </w:p>
    <w:p>
      <w:r>
        <w:t>hybrid retrieval and language generation locally on CPU-only hardware, and using the cloud tier only for</w:t>
      </w:r>
    </w:p>
    <w:p>
      <w:r>
        <w:t>cache-backed acquisition, the system removes the continuous-connectivity assumption that limits many</w:t>
      </w:r>
    </w:p>
    <w:p>
      <w:r>
        <w:t>precision-agriculture platforms in smallholder regions. The measured 27.1 s end-to-end latency</w:t>
      </w:r>
    </w:p>
    <w:p>
      <w:r>
        <w:t>(Section 3.2) is acceptable for a field advisory that is consulted on the order of times per day rather</w:t>
      </w:r>
    </w:p>
    <w:p>
      <w:r>
        <w:t>than continuously, and the store-and-forward telemetry buffer plus the read-only, last-cached dashboard</w:t>
      </w:r>
    </w:p>
    <w:p>
      <w:r>
        <w:t>contract mean the system degrades gracefully rather than failing when the network or an upstream service is</w:t>
      </w:r>
    </w:p>
    <w:p>
      <w:r>
        <w:t>unavailable. The human-in-the-loop approval queue keeps a person in control of what enters the record,</w:t>
      </w:r>
    </w:p>
    <w:p>
      <w:r>
        <w:t>which is appropriate given the disclosed maturity limits of some components.</w:t>
      </w:r>
    </w:p>
    <w:p>
      <w:pPr>
        <w:pStyle w:val="Heading2"/>
      </w:pPr>
      <w:r>
        <w:rPr>
          <w:rFonts w:ascii="Times New Roman" w:hAnsi="Times New Roman"/>
          <w:color w:val="000000"/>
        </w:rPr>
        <w:t>4.3. Limitations</w:t>
      </w:r>
    </w:p>
    <w:p>
      <w:r>
        <w:t>We report limitations in full, consistent with the paper's stance.</w:t>
      </w:r>
    </w:p>
    <w:p>
      <w:r>
        <w:t>*Prototype edge-vision.* Two vision components are not operational as designed and are disclosed as such</w:t>
      </w:r>
    </w:p>
    <w:p>
      <w:r>
        <w:t>(Sections 2.3, 2.7, 2.8): the ESP32-CAM performs capture and transmission only — its on-device classifier</w:t>
      </w:r>
    </w:p>
    <w:p>
      <w:r>
        <w:t>is a placeholder, so crop-health inference is done at the fog tier — and the satellite-CNN modality of the</w:t>
      </w:r>
    </w:p>
    <w:p>
      <w:r>
        <w:t>cross-modal consensus is an untrained stub, so that validator runs as a two-of-three consensus. The</w:t>
      </w:r>
    </w:p>
    <w:p>
      <w:r>
        <w:t>"tri-modal edge" description therefore reduces, in the shipped system, to fog-tier field-image</w:t>
      </w:r>
    </w:p>
    <w:p>
      <w:r>
        <w:t>classification plus a numerical predictor.</w:t>
      </w:r>
    </w:p>
    <w:p>
      <w:r>
        <w:t>*Evaluation coverage.* Two advisory evaluations remain pending rather than passed: the language model's</w:t>
      </w:r>
    </w:p>
    <w:p>
      <w:r>
        <w:t>hallucination-resistance test and the blinded expert farmer-language assessment (Section 3.2, 3.4). The</w:t>
      </w:r>
    </w:p>
    <w:p>
      <w:r>
        <w:t>drought-stress image class attains 100 % validation accuracy on only 360 images and is flagged as overfit</w:t>
      </w:r>
    </w:p>
    <w:p>
      <w:r>
        <w:t>pending re-training with augmentation (Section 3.1). The advisory context builder currently injects a fixed</w:t>
      </w:r>
    </w:p>
    <w:p>
      <w:r>
        <w:t>soil profile rather than a per-parcel one (Section 2.9). These are concrete, addressable gaps rather than</w:t>
      </w:r>
    </w:p>
    <w:p>
      <w:r>
        <w:t>fundamental barriers.</w:t>
      </w:r>
    </w:p>
    <w:p>
      <w:r>
        <w:t>*Scope and ground truth.* The retrospective panel is a single region over roughly two decades, which</w:t>
      </w:r>
    </w:p>
    <w:p>
      <w:r>
        <w:t>constrains leave-one-year-out folds and widens year-cluster confidence intervals; district yields are</w:t>
      </w:r>
    </w:p>
    <w:p>
      <w:r>
        <w:t>administrative aggregates rather than measured plot yields; and the only field-scale ground truth is the</w:t>
      </w:r>
    </w:p>
    <w:p>
      <w:r>
        <w:t>single EVR_01 parcel, with the operational demonstration sites carried at disclosed placeholder</w:t>
      </w:r>
    </w:p>
    <w:p>
      <w:r>
        <w:t>coordinates (Section 2.3). The system also uses two distinct climate reanalyses in separate roles —</w:t>
      </w:r>
    </w:p>
    <w:p>
      <w:r>
        <w:t>ERA5-Land for the operational daily pipeline and NASA POWER (MERRA-2) for the retrospective district panel</w:t>
      </w:r>
    </w:p>
    <w:p>
      <w:r>
        <w:t>(Section 2.4) — which are reported separately and not merged.</w:t>
      </w:r>
    </w:p>
    <w:p>
      <w:r>
        <w:t>*Retrieval design.* The advisory retrieval uses a merge-and-boost heuristic over dense and sparse results</w:t>
      </w:r>
    </w:p>
    <w:p>
      <w:r>
        <w:t>rather than a neural cross-encoder re-ranker (Section 2.9); a full treatment of the retrieval layer,</w:t>
      </w:r>
    </w:p>
    <w:p>
      <w:r>
        <w:t>including its corpus, latency and hallucination evaluation, is deferred to a dedicated paper.</w:t>
      </w:r>
    </w:p>
    <w:p>
      <w:pPr>
        <w:pStyle w:val="Heading2"/>
      </w:pPr>
      <w:r>
        <w:rPr>
          <w:rFonts w:ascii="Times New Roman" w:hAnsi="Times New Roman"/>
          <w:color w:val="000000"/>
        </w:rPr>
        <w:t>4.4. Generalizability and future work</w:t>
      </w:r>
    </w:p>
    <w:p>
      <w:r>
        <w:t>The architecture is not specific to Trakya or to wheat and sunflower: the edge-acquisition node, the</w:t>
      </w:r>
    </w:p>
    <w:p>
      <w:r>
        <w:t>offline fog-tier inference stack, the human-in-the-loop data plane and the honesty-aware advisory logic</w:t>
      </w:r>
    </w:p>
    <w:p>
      <w:r>
        <w:t>transfer to other crops and low-connectivity regions given locally appropriate models and an agronomic</w:t>
      </w:r>
    </w:p>
    <w:p>
      <w:r>
        <w:t>corpus. Priorities for future work follow directly from the limitations: training and deploying the</w:t>
      </w:r>
    </w:p>
    <w:p>
      <w:r>
        <w:t>satellite-CNN modality to realise the full tri-modal consensus; separating crop-specific pixels rather</w:t>
      </w:r>
    </w:p>
    <w:p>
      <w:r>
        <w:t>than using a generic cropland mask; completing the hallucination and expert-language evaluations of the</w:t>
      </w:r>
    </w:p>
    <w:p>
      <w:r>
        <w:t>advisory layer; re-training the drought-stress class with augmentation; replacing the fixed soil profile</w:t>
      </w:r>
    </w:p>
    <w:p>
      <w:r>
        <w:t>with a per-parcel lookup; and extending the single-parcel field reconnaissance to a multi-site, multi-season</w:t>
      </w:r>
    </w:p>
    <w:p>
      <w:r>
        <w:t>trial. On the edge, migrating a compact classifier to on-device inference (e.g. TensorFlow-Lite-Micro on</w:t>
      </w:r>
    </w:p>
    <w:p>
      <w:r>
        <w:t>the ESP32-CAM) would move part of the vision workload from fog to edge as originally intended.</w:t>
      </w:r>
    </w:p>
    <w:p>
      <w:pPr>
        <w:pStyle w:val="Heading1"/>
      </w:pPr>
      <w:r>
        <w:rPr>
          <w:rFonts w:ascii="Times New Roman" w:hAnsi="Times New Roman"/>
          <w:color w:val="000000"/>
        </w:rPr>
        <w:t>5. Conclusion</w:t>
      </w:r>
    </w:p>
    <w:p>
      <w:r>
        <w:t>TRAK-AI is an offline-first Edge–Fog–Cloud decision-support system for winter wheat and sunflower in</w:t>
      </w:r>
    </w:p>
    <w:p>
      <w:r>
        <w:t>Trakya, Türkiye, whose distinguishing feature is that it embeds validation rigour into its operational</w:t>
      </w:r>
    </w:p>
    <w:p>
      <w:r>
        <w:t>logic. A low-cost ESP32 rover acquires in-situ data; a laptop-class fog tier performs vegetation-index</w:t>
      </w:r>
    </w:p>
    <w:p>
      <w:r>
        <w:t>forecasting, layered yield estimation, crop-health image classification and a Turkish-language</w:t>
      </w:r>
    </w:p>
    <w:p>
      <w:r>
        <w:t>retrieval-augmented advisory with a locally hosted language model; and the cloud tier is used only for</w:t>
      </w:r>
    </w:p>
    <w:p>
      <w:r>
        <w:t>cache-backed acquisition, so the full decision loop runs on CPU-only hardware without a network once inputs</w:t>
      </w:r>
    </w:p>
    <w:p>
      <w:r>
        <w:t>are cached, completing in about 27 s end-to-end. Guided by a companion cross-validation audit, the system</w:t>
      </w:r>
    </w:p>
    <w:p>
      <w:r>
        <w:t>defaults winter-wheat yield to a climatology baseline, presents machine-learning estimates with their</w:t>
      </w:r>
    </w:p>
    <w:p>
      <w:r>
        <w:t>forward-skill caveats, and transparently reports both a forward-validation result in which a naïve</w:t>
      </w:r>
    </w:p>
    <w:p>
      <w:r>
        <w:t>persistence baseline is not beaten and the prototype or placeholder status of its edge-vision components.</w:t>
      </w:r>
    </w:p>
    <w:p>
      <w:r>
        <w:t>Its contribution is therefore less a new high-accuracy model than an honest, deployable integration:</w:t>
      </w:r>
    </w:p>
    <w:p>
      <w:r>
        <w:t>a demonstration that an agricultural decision-support system for low-connectivity smallholder settings can</w:t>
      </w:r>
    </w:p>
    <w:p>
      <w:r>
        <w:t>be built to be transparent about what it does — and does not — reliably do. Completing the pending advisory</w:t>
      </w:r>
    </w:p>
    <w:p>
      <w:r>
        <w:t>evaluations, realising the full tri-modal consensus, and extending the single-parcel field reconnaissance</w:t>
      </w:r>
    </w:p>
    <w:p>
      <w:r>
        <w:t>to multi-site trials are the clear next steps toward operational deployment.</w:t>
      </w:r>
    </w:p>
    <w:p>
      <w:pPr>
        <w:pStyle w:val="Heading2"/>
      </w:pPr>
      <w:r>
        <w:rPr>
          <w:rFonts w:ascii="Times New Roman" w:hAnsi="Times New Roman"/>
          <w:color w:val="000000"/>
        </w:rPr>
        <w:t>CRediT author statement</w:t>
      </w:r>
    </w:p>
    <w:p>
      <w:r>
        <w:rPr>
          <w:b/>
        </w:rPr>
        <w:t>Melih Kalkan:</w:t>
      </w:r>
      <w:r>
        <w:t xml:space="preserve"> Conceptualization, Methodology, Software, Formal analysis, Data curation, Writing –</w:t>
      </w:r>
    </w:p>
    <w:p>
      <w:r>
        <w:t xml:space="preserve">original draft, Visualization. </w:t>
      </w:r>
      <w:r>
        <w:rPr>
          <w:b/>
        </w:rPr>
        <w:t>Gülsüm Çiğdem Çavdaroğlu:</w:t>
      </w:r>
      <w:r>
        <w:t xml:space="preserve"> Supervision, Writing – review and editing.</w:t>
      </w:r>
    </w:p>
    <w:p>
      <w:pPr>
        <w:pStyle w:val="Heading2"/>
      </w:pPr>
      <w:r>
        <w:rPr>
          <w:rFonts w:ascii="Times New Roman" w:hAnsi="Times New Roman"/>
          <w:color w:val="000000"/>
        </w:rPr>
        <w:t>Declaration of competing interests</w:t>
      </w:r>
    </w:p>
    <w:p>
      <w:r>
        <w:t>The authors declare that they have no known competing financial interests or personal relationships that</w:t>
      </w:r>
    </w:p>
    <w:p>
      <w:r>
        <w:t>could have appeared to influence the work reported in this paper.</w:t>
      </w:r>
    </w:p>
    <w:p>
      <w:pPr>
        <w:pStyle w:val="Heading2"/>
      </w:pPr>
      <w:r>
        <w:rPr>
          <w:rFonts w:ascii="Times New Roman" w:hAnsi="Times New Roman"/>
          <w:color w:val="000000"/>
        </w:rPr>
        <w:t>Data availability</w:t>
      </w:r>
    </w:p>
    <w:p>
      <w:r>
        <w:t>The derived dataset underlying the retrospective models is deposited on Mendeley Data under a CC-BY-4.0</w:t>
      </w:r>
    </w:p>
    <w:p>
      <w:r>
        <w:t>licence, DOI 10.17632/f6d29w5zjk.1 [P; the record is in repository moderation at the time of writing and</w:t>
      </w:r>
    </w:p>
    <w:p>
      <w:r>
        <w:t>resolves on publication — DEĞER DOĞRULANACAK]. TÜİK district statistics are publicly available official</w:t>
      </w:r>
    </w:p>
    <w:p>
      <w:r>
        <w:t>statistics; Sentinel-2, ERA5-Land, NASA POWER and SoilGrids inputs are openly available from their</w:t>
      </w:r>
    </w:p>
    <w:p>
      <w:r>
        <w:t>providers.</w:t>
      </w:r>
    </w:p>
    <w:p>
      <w:pPr>
        <w:pStyle w:val="Heading2"/>
      </w:pPr>
      <w:r>
        <w:rPr>
          <w:rFonts w:ascii="Times New Roman" w:hAnsi="Times New Roman"/>
          <w:color w:val="000000"/>
        </w:rPr>
        <w:t>Code availability</w:t>
      </w:r>
    </w:p>
    <w:p>
      <w:r>
        <w:t>The cross-validation-audit reproducibility code is openly available on GitHub</w:t>
      </w:r>
    </w:p>
    <w:p>
      <w:r>
        <w:t>(github.com/melihkalkan4/trak-ai-crop-yield-cv-audit) and archived on Zenodo, concept DOI</w:t>
      </w:r>
    </w:p>
    <w:p>
      <w:r>
        <w:t>10.5281/zenodo.21308764 (MIT licence) [V]. [KAYNAK BULUNACAK: if the full TRAK-AI decision-support system</w:t>
      </w:r>
    </w:p>
    <w:p>
      <w:r>
        <w:t>code (ETL, edge firmware, fog services, dashboard) is released as a separate repository/archive, add its</w:t>
      </w:r>
    </w:p>
    <w:p>
      <w:r>
        <w:t>URL and DOI here — REPO DOI PENDING.]</w:t>
      </w:r>
    </w:p>
    <w:p>
      <w:pPr>
        <w:pStyle w:val="Heading2"/>
      </w:pPr>
      <w:r>
        <w:rPr>
          <w:rFonts w:ascii="Times New Roman" w:hAnsi="Times New Roman"/>
          <w:color w:val="000000"/>
        </w:rPr>
        <w:t>Declaration of generative AI and AI-assisted technologies in the manuscript preparation process</w:t>
      </w:r>
    </w:p>
    <w:p>
      <w:r>
        <w:t>During the preparation of this work the author(s) used [NAME OF TOOL] in order to draft and copy-edit</w:t>
      </w:r>
    </w:p>
    <w:p>
      <w:r>
        <w:t>manuscript text and to organise verified numerical results into tables. After using this tool, the</w:t>
      </w:r>
    </w:p>
    <w:p>
      <w:r>
        <w:t>author(s) reviewed and edited the content as needed and take(s) full responsibility for the content of the</w:t>
      </w:r>
    </w:p>
    <w:p>
      <w:r>
        <w:t>publication. [N: confirm whether to include and which tool(s) to name; delete if not applicable.]</w:t>
      </w:r>
    </w:p>
    <w:p>
      <w:pPr>
        <w:pStyle w:val="Heading2"/>
      </w:pPr>
      <w:r>
        <w:rPr>
          <w:rFonts w:ascii="Times New Roman" w:hAnsi="Times New Roman"/>
          <w:color w:val="000000"/>
        </w:rPr>
        <w:t>Acknowledgements</w:t>
      </w:r>
    </w:p>
    <w:p>
      <w:r>
        <w:t>This work was carried out within a TÜBİTAK 2209-A University Students Research Projects support programme</w:t>
      </w:r>
    </w:p>
    <w:p>
      <w:r>
        <w:t>[DEĞER DOĞRULANACAK: application/grant number and support period]. Climate data were obtained from the</w:t>
      </w:r>
    </w:p>
    <w:p>
      <w:r>
        <w:t>NASA Langley Research Center (LaRC) POWER Project funded through the NASA Earth Science/Applied Science</w:t>
      </w:r>
    </w:p>
    <w:p>
      <w:r>
        <w:t>Program. This work contains modified Copernicus Sentinel and ERA5-Land data. The authors acknowledge ESA,</w:t>
      </w:r>
    </w:p>
    <w:p>
      <w:r>
        <w:t>NASA, ISRIC and TÜİK as data providers.</w:t>
      </w:r>
    </w:p>
    <w:p>
      <w:r>
        <w:br w:type="page"/>
      </w:r>
    </w:p>
    <w:p>
      <w:pPr>
        <w:pStyle w:val="Heading1"/>
      </w:pPr>
      <w:r>
        <w:rPr>
          <w:rFonts w:ascii="Times New Roman" w:hAnsi="Times New Roman"/>
          <w:color w:val="000000"/>
        </w:rPr>
        <w:t>References</w:t>
      </w:r>
    </w:p>
    <w:p>
      <w:pPr>
        <w:ind w:left="432" w:hanging="432"/>
      </w:pPr>
      <w:r>
        <w:rPr>
          <w:sz w:val="20"/>
        </w:rPr>
        <w:t xml:space="preserve">[1] </w:t>
      </w:r>
      <w:r>
        <w:rPr>
          <w:sz w:val="20"/>
        </w:rPr>
        <w:t>M. Abadi, P. Barham, J. Chen, et al., TensorFlow: a system for large-scale machine learning, in: 12th USENIX Symposium on Operating Systems Design and Implementation (OSDI '16), USENIX Association, Savannah, GA, 2016, pp. 265–283. [D — no DOI; preprint arXiv:1605.08695]</w:t>
      </w:r>
    </w:p>
    <w:p>
      <w:pPr>
        <w:ind w:left="432" w:hanging="432"/>
      </w:pPr>
      <w:r>
        <w:rPr>
          <w:sz w:val="20"/>
        </w:rPr>
        <w:t xml:space="preserve">[2] </w:t>
      </w:r>
      <w:r>
        <w:rPr>
          <w:sz w:val="20"/>
        </w:rPr>
        <w:t>D. Bahdanau, K. Cho, Y. Bengio, Neural machine translation by jointly learning to align and translate, in: 3rd International Conference on Learning Representations (ICLR), San Diego, CA, 2015. [D — no DOI; arXiv:1409.0473]</w:t>
      </w:r>
    </w:p>
    <w:p>
      <w:pPr>
        <w:ind w:left="432" w:hanging="432"/>
      </w:pPr>
      <w:r>
        <w:rPr>
          <w:sz w:val="20"/>
        </w:rPr>
        <w:t xml:space="preserve">[3] </w:t>
      </w:r>
      <w:r>
        <w:rPr>
          <w:sz w:val="20"/>
        </w:rPr>
        <w:t>L. Breiman, Random forests, Mach. Learn. 45 (1) (2001) 5–32. https://doi.org/10.1023/A:1010933404324 [V]</w:t>
      </w:r>
    </w:p>
    <w:p>
      <w:pPr>
        <w:ind w:left="432" w:hanging="432"/>
      </w:pPr>
      <w:r>
        <w:rPr>
          <w:sz w:val="20"/>
        </w:rPr>
        <w:t xml:space="preserve">[4] </w:t>
      </w:r>
      <w:r>
        <w:rPr>
          <w:sz w:val="20"/>
        </w:rPr>
        <w:t>T. Chen, C. Guestrin, XGBoost: a scalable tree boosting system, in: Proc. 22nd ACM SIGKDD Int. Conf. Knowledge Discovery and Data Mining (KDD '16), ACM, San Francisco, CA, 2016, pp. 785–794. https://doi.org/10.1145/2939672.2939785 [V]</w:t>
      </w:r>
    </w:p>
    <w:p>
      <w:pPr>
        <w:ind w:left="432" w:hanging="432"/>
      </w:pPr>
      <w:r>
        <w:rPr>
          <w:sz w:val="20"/>
        </w:rPr>
        <w:t xml:space="preserve">[5] </w:t>
      </w:r>
      <w:r>
        <w:rPr>
          <w:sz w:val="20"/>
        </w:rPr>
        <w:t>M. Drusch, U. Del Bello, S. Carlier, et al., Sentinel-2: ESA's optical high-resolution mission for GMES operational services, Remote Sens. Environ. 120 (2012) 25–36. https://doi.org/10.1016/j.rse.2011.11.026 [V]</w:t>
      </w:r>
    </w:p>
    <w:p>
      <w:pPr>
        <w:ind w:left="432" w:hanging="432"/>
      </w:pPr>
      <w:r>
        <w:rPr>
          <w:sz w:val="20"/>
        </w:rPr>
        <w:t xml:space="preserve">[6] </w:t>
      </w:r>
      <w:r>
        <w:rPr>
          <w:sz w:val="20"/>
        </w:rPr>
        <w:t>R. Gelaro, W. McCarty, M.J. Suárez, et al., The Modern-Era Retrospective Analysis for Research and Applications, Version 2 (MERRA-2), J. Clim. 30 (2017) 5419–5454. https://doi.org/10.1175/JCLI-D-16-0758.1 [V]</w:t>
      </w:r>
    </w:p>
    <w:p>
      <w:pPr>
        <w:ind w:left="432" w:hanging="432"/>
      </w:pPr>
      <w:r>
        <w:rPr>
          <w:sz w:val="20"/>
        </w:rPr>
        <w:t xml:space="preserve">[7] </w:t>
      </w:r>
      <w:r>
        <w:rPr>
          <w:sz w:val="20"/>
        </w:rPr>
        <w:t>Gemma Team (Google DeepMind), Gemma: open models based on Gemini research and technology, arXiv:2403.08295 (2024). https://doi.org/10.48550/arXiv.2403.08295 [V]</w:t>
      </w:r>
    </w:p>
    <w:p>
      <w:pPr>
        <w:ind w:left="432" w:hanging="432"/>
      </w:pPr>
      <w:r>
        <w:rPr>
          <w:sz w:val="20"/>
        </w:rPr>
        <w:t xml:space="preserve">[8] </w:t>
      </w:r>
      <w:r>
        <w:rPr>
          <w:sz w:val="20"/>
        </w:rPr>
        <w:t>N. Gorelick, M. Hancher, M. Dixon, et al., Google Earth Engine: planetary-scale geospatial analysis for everyone, Remote Sens. Environ. 202 (2017) 18–27. https://doi.org/10.1016/j.rse.2017.06.031 [V]</w:t>
      </w:r>
    </w:p>
    <w:p>
      <w:pPr>
        <w:ind w:left="432" w:hanging="432"/>
      </w:pPr>
      <w:r>
        <w:rPr>
          <w:sz w:val="20"/>
        </w:rPr>
        <w:t xml:space="preserve">[9] </w:t>
      </w:r>
      <w:r>
        <w:rPr>
          <w:sz w:val="20"/>
        </w:rPr>
        <w:t>S. Hochreiter, J. Schmidhuber, Long short-term memory, Neural Comput. 9 (8) (1997) 1735–1780. https://doi.org/10.1162/neco.1997.9.8.1735 [V]</w:t>
      </w:r>
    </w:p>
    <w:p>
      <w:pPr>
        <w:ind w:left="432" w:hanging="432"/>
      </w:pPr>
      <w:r>
        <w:rPr>
          <w:sz w:val="20"/>
        </w:rPr>
        <w:t xml:space="preserve">[10] </w:t>
      </w:r>
      <w:r>
        <w:rPr>
          <w:sz w:val="20"/>
        </w:rPr>
        <w:t>A. Huete, K. Didan, T. Miura, et al., Overview of the radiometric and biophysical performance of the MODIS vegetation indices, Remote Sens. Environ. 83 (1–2) (2002) 195–213. https://doi.org/10.1016/S0034-4257(02)00096-2 [V]</w:t>
      </w:r>
    </w:p>
    <w:p>
      <w:pPr>
        <w:ind w:left="432" w:hanging="432"/>
      </w:pPr>
      <w:r>
        <w:rPr>
          <w:sz w:val="20"/>
        </w:rPr>
        <w:t xml:space="preserve">[11] </w:t>
      </w:r>
      <w:r>
        <w:rPr>
          <w:sz w:val="20"/>
        </w:rPr>
        <w:t>G. Jocher, A. Chaurasia, J. Qiu, Ultralytics YOLOv8 (v8.0.0) [software], 2023. https://github.com/ultralytics/ultralytics (AGPL-3.0). [D — software, no DOI]</w:t>
      </w:r>
    </w:p>
    <w:p>
      <w:pPr>
        <w:ind w:left="432" w:hanging="432"/>
      </w:pPr>
      <w:r>
        <w:rPr>
          <w:sz w:val="20"/>
        </w:rPr>
        <w:t xml:space="preserve">[12] </w:t>
      </w:r>
      <w:r>
        <w:rPr>
          <w:sz w:val="20"/>
        </w:rPr>
        <w:t>J. Johnson, M. Douze, H. Jégou, Billion-scale similarity search with GPUs, IEEE Trans. Big Data 7 (3) (2021) 535–547. https://doi.org/10.1109/TBDATA.2019.2921572 [V]</w:t>
      </w:r>
    </w:p>
    <w:p>
      <w:pPr>
        <w:ind w:left="432" w:hanging="432"/>
      </w:pPr>
      <w:r>
        <w:rPr>
          <w:sz w:val="20"/>
        </w:rPr>
        <w:t xml:space="preserve">[13] </w:t>
      </w:r>
      <w:r>
        <w:rPr>
          <w:sz w:val="20"/>
        </w:rPr>
        <w:t>[dataset] M. Kalkan, G.Ç. Çavdaroğlu, Spatial skill is not temporal skill — TRAK-AI crop-yield cross-validation audit (Trakya, Türkiye), Mendeley Data, V1, 2026. https://doi.org/10.17632/f6d29w5zjk.1 [P — resolves on publication]</w:t>
      </w:r>
    </w:p>
    <w:p>
      <w:pPr>
        <w:ind w:left="432" w:hanging="432"/>
      </w:pPr>
      <w:r>
        <w:rPr>
          <w:sz w:val="20"/>
        </w:rPr>
        <w:t xml:space="preserve">[14] </w:t>
      </w:r>
      <w:r>
        <w:rPr>
          <w:sz w:val="20"/>
        </w:rPr>
        <w:t>M. Kalkan, G.Ç. Çavdaroğlu, Spatial skill is not temporal skill: a cross-validation audit of satellite-driven winter-wheat and sunflower yield prediction in Trakya, Türkiye, Int. J. Eng. Geosci. (2026), manuscript under review. [V — status verified]</w:t>
      </w:r>
    </w:p>
    <w:p>
      <w:pPr>
        <w:ind w:left="432" w:hanging="432"/>
      </w:pPr>
      <w:r>
        <w:rPr>
          <w:sz w:val="20"/>
        </w:rPr>
        <w:t xml:space="preserve">[15] </w:t>
      </w:r>
      <w:r>
        <w:rPr>
          <w:sz w:val="20"/>
        </w:rPr>
        <w:t>[software] M. Kalkan, G.Ç. Çavdaroğlu, TRAK-AI crop-yield cross-validation audit — reproducibility code, Zenodo, 2026. https://doi.org/10.5281/zenodo.21308764 [V]</w:t>
      </w:r>
    </w:p>
    <w:p>
      <w:pPr>
        <w:ind w:left="432" w:hanging="432"/>
      </w:pPr>
      <w:r>
        <w:rPr>
          <w:sz w:val="20"/>
        </w:rPr>
        <w:t xml:space="preserve">[16] </w:t>
      </w:r>
      <w:r>
        <w:rPr>
          <w:sz w:val="20"/>
        </w:rPr>
        <w:t>V. Karpukhin, B. Oğuz, S. Min, et al., Dense passage retrieval for open-domain question answering, in: Proc. 2020 Conf. Empirical Methods in Natural Language Processing (EMNLP), ACL, 2020, pp. 6769–6781. https://doi.org/10.18653/v1/2020.emnlp-main.550 [V]</w:t>
      </w:r>
    </w:p>
    <w:p>
      <w:pPr>
        <w:ind w:left="432" w:hanging="432"/>
      </w:pPr>
      <w:r>
        <w:rPr>
          <w:sz w:val="20"/>
        </w:rPr>
        <w:t xml:space="preserve">[17] </w:t>
      </w:r>
      <w:r>
        <w:rPr>
          <w:sz w:val="20"/>
        </w:rPr>
        <w:t>P.D. Lancashire, H. Bleiholder, T. van den Boom, et al., A uniform decimal code for growth stages of crops and weeds, Ann. Appl. Biol. 119 (3) (1991) 561–601. https://doi.org/10.1111/j.1744-7348.1991.tb04895.x [V]</w:t>
      </w:r>
    </w:p>
    <w:p>
      <w:pPr>
        <w:ind w:left="432" w:hanging="432"/>
      </w:pPr>
      <w:r>
        <w:rPr>
          <w:sz w:val="20"/>
        </w:rPr>
        <w:t xml:space="preserve">[18] </w:t>
      </w:r>
      <w:r>
        <w:rPr>
          <w:sz w:val="20"/>
        </w:rPr>
        <w:t>P. Lewis, E. Perez, A. Piktus, et al., Retrieval-augmented generation for knowledge-intensive NLP tasks, in: Advances in Neural Information Processing Systems 33 (NeurIPS 2020), 2020, pp. 9459–9474. [D — no DOI; arXiv:2005.11401]</w:t>
      </w:r>
    </w:p>
    <w:p>
      <w:pPr>
        <w:ind w:left="432" w:hanging="432"/>
      </w:pPr>
      <w:r>
        <w:rPr>
          <w:sz w:val="20"/>
        </w:rPr>
        <w:t xml:space="preserve">[19] </w:t>
      </w:r>
      <w:r>
        <w:rPr>
          <w:sz w:val="20"/>
        </w:rPr>
        <w:t>H. Meyer, E. Pebesma, Predicting into unknown space? Estimating the area of applicability of spatial prediction models, Methods Ecol. Evol. 12 (9) (2021) 1620–1633. https://doi.org/10.1111/2041-210X.13650 [V]</w:t>
      </w:r>
    </w:p>
    <w:p>
      <w:pPr>
        <w:ind w:left="432" w:hanging="432"/>
      </w:pPr>
      <w:r>
        <w:rPr>
          <w:sz w:val="20"/>
        </w:rPr>
        <w:t xml:space="preserve">[20] </w:t>
      </w:r>
      <w:r>
        <w:rPr>
          <w:sz w:val="20"/>
        </w:rPr>
        <w:t>A. Banks, E. Briggs, K. Borgendale, R. Gupta (Eds.), MQTT Version 5.0, OASIS Standard, 07 March 2019. https://docs.oasis-open.org/mqtt/mqtt/v5.0/os/mqtt-v5.0-os.html [D — standard, no DOI]</w:t>
      </w:r>
    </w:p>
    <w:p>
      <w:pPr>
        <w:ind w:left="432" w:hanging="432"/>
      </w:pPr>
      <w:r>
        <w:rPr>
          <w:sz w:val="20"/>
        </w:rPr>
        <w:t xml:space="preserve">[21] </w:t>
      </w:r>
      <w:r>
        <w:rPr>
          <w:sz w:val="20"/>
        </w:rPr>
        <w:t>J. Muñoz-Sabater, E. Dutra, A. Agustí-Panareda, et al., ERA5-Land: a state-of-the-art global reanalysis dataset for land applications, Earth Syst. Sci. Data 13 (2021) 4349–4383. https://doi.org/10.5194/essd-13-4349-2021 [V]</w:t>
      </w:r>
    </w:p>
    <w:p>
      <w:pPr>
        <w:ind w:left="432" w:hanging="432"/>
      </w:pPr>
      <w:r>
        <w:rPr>
          <w:sz w:val="20"/>
        </w:rPr>
        <w:t xml:space="preserve">[22] </w:t>
      </w:r>
      <w:r>
        <w:rPr>
          <w:sz w:val="20"/>
        </w:rPr>
        <w:t>Ollama, Ollama: get up and running with large language models locally [software], 2023. https://ollama.com (source: https://github.com/ollama/ollama). [D — software, no DOI]</w:t>
      </w:r>
    </w:p>
    <w:p>
      <w:pPr>
        <w:ind w:left="432" w:hanging="432"/>
      </w:pPr>
      <w:r>
        <w:rPr>
          <w:sz w:val="20"/>
        </w:rPr>
        <w:t xml:space="preserve">[23] </w:t>
      </w:r>
      <w:r>
        <w:rPr>
          <w:sz w:val="20"/>
        </w:rPr>
        <w:t>F. Pedregosa, G. Varoquaux, A. Gramfort, et al., Scikit-learn: machine learning in Python, J. Mach. Learn. Res. 12 (2011) 2825–2830. [D — no DOI; arXiv:1201.0490]</w:t>
      </w:r>
    </w:p>
    <w:p>
      <w:pPr>
        <w:ind w:left="432" w:hanging="432"/>
      </w:pPr>
      <w:r>
        <w:rPr>
          <w:sz w:val="20"/>
        </w:rPr>
        <w:t xml:space="preserve">[24] </w:t>
      </w:r>
      <w:r>
        <w:rPr>
          <w:sz w:val="20"/>
        </w:rPr>
        <w:t>P. Ploton, F. Mortier, M. Réjou-Méchain, et al., Spatial validation reveals poor predictive performance of large-scale ecological mapping models, Nat. Commun. 11 (1) (2020) 4540. https://doi.org/10.1038/s41467-020-18321-y [V]</w:t>
      </w:r>
    </w:p>
    <w:p>
      <w:pPr>
        <w:ind w:left="432" w:hanging="432"/>
      </w:pPr>
      <w:r>
        <w:rPr>
          <w:sz w:val="20"/>
        </w:rPr>
        <w:t xml:space="preserve">[25] </w:t>
      </w:r>
      <w:r>
        <w:rPr>
          <w:sz w:val="20"/>
        </w:rPr>
        <w:t>L. Poggio, L.M. de Sousa, N.H. Batjes, et al., SoilGrids 2.0: producing soil information for the globe with quantified spatial uncertainty, SOIL 7 (2021) 217–240. https://doi.org/10.5194/soil-7-217-2021 [V]</w:t>
      </w:r>
    </w:p>
    <w:p>
      <w:pPr>
        <w:ind w:left="432" w:hanging="432"/>
      </w:pPr>
      <w:r>
        <w:rPr>
          <w:sz w:val="20"/>
        </w:rPr>
        <w:t xml:space="preserve">[26] </w:t>
      </w:r>
      <w:r>
        <w:rPr>
          <w:sz w:val="20"/>
        </w:rPr>
        <w:t>C.E. Rasmussen, C.K.I. Williams, Gaussian Processes for Machine Learning, MIT Press, Cambridge, MA, 2006. https://doi.org/10.7551/mitpress/3206.001.0001 [V]</w:t>
      </w:r>
    </w:p>
    <w:p>
      <w:pPr>
        <w:ind w:left="432" w:hanging="432"/>
      </w:pPr>
      <w:r>
        <w:rPr>
          <w:sz w:val="20"/>
        </w:rPr>
        <w:t xml:space="preserve">[27] </w:t>
      </w:r>
      <w:r>
        <w:rPr>
          <w:sz w:val="20"/>
        </w:rPr>
        <w:t>J. Redmon, S. Divvala, R. Girshick, A. Farhadi, You only look once: unified, real-time object detection, in: 2016 IEEE Conf. Computer Vision and Pattern Recognition (CVPR), Las Vegas, NV, 2016, pp. 779–788. https://doi.org/10.1109/CVPR.2016.91 [V]</w:t>
      </w:r>
    </w:p>
    <w:p>
      <w:pPr>
        <w:ind w:left="432" w:hanging="432"/>
      </w:pPr>
      <w:r>
        <w:rPr>
          <w:sz w:val="20"/>
        </w:rPr>
        <w:t xml:space="preserve">[28] </w:t>
      </w:r>
      <w:r>
        <w:rPr>
          <w:sz w:val="20"/>
        </w:rPr>
        <w:t>D.R. Roberts, V. Bahn, S. Ciuti, et al., Cross-validation strategies for data with temporal, spatial, hierarchical, or phylogenetic structure, Ecography 40 (8) (2017) 913–929. https://doi.org/10.1111/ecog.02881 [V]</w:t>
      </w:r>
    </w:p>
    <w:p>
      <w:pPr>
        <w:ind w:left="432" w:hanging="432"/>
      </w:pPr>
      <w:r>
        <w:rPr>
          <w:sz w:val="20"/>
        </w:rPr>
        <w:t xml:space="preserve">[29] </w:t>
      </w:r>
      <w:r>
        <w:rPr>
          <w:sz w:val="20"/>
        </w:rPr>
        <w:t>S. Robertson, H. Zaragoza, The probabilistic relevance framework: BM25 and beyond, Found. Trends Inf. Retr. 3 (4) (2009) 333–389. https://doi.org/10.1561/1500000019 [V]</w:t>
      </w:r>
    </w:p>
    <w:p>
      <w:pPr>
        <w:ind w:left="432" w:hanging="432"/>
      </w:pPr>
      <w:r>
        <w:rPr>
          <w:sz w:val="20"/>
        </w:rPr>
        <w:t xml:space="preserve">[30] </w:t>
      </w:r>
      <w:r>
        <w:rPr>
          <w:sz w:val="20"/>
        </w:rPr>
        <w:t>J.W. Rouse, R.H. Haas, J.A. Schell, D.W. Deering, Monitoring vegetation systems in the Great Plains with ERTS, in: Third ERTS Symposium, NASA SP-351, Vol. 1, 1974, pp. 309–317. [D — NASA report, no DOI]</w:t>
      </w:r>
    </w:p>
    <w:p>
      <w:pPr>
        <w:ind w:left="432" w:hanging="432"/>
      </w:pPr>
      <w:r>
        <w:rPr>
          <w:sz w:val="20"/>
        </w:rPr>
        <w:t xml:space="preserve">[31] </w:t>
      </w:r>
      <w:r>
        <w:rPr>
          <w:sz w:val="20"/>
        </w:rPr>
        <w:t>K.E. Saxton, W.J. Rawls, Soil water characteristic estimates by texture and organic matter for hydrologic solutions, Soil Sci. Soc. Am. J. 70 (5) (2006) 1569–1578. https://doi.org/10.2136/sssaj2005.0117 [V]</w:t>
      </w:r>
    </w:p>
    <w:p>
      <w:pPr>
        <w:ind w:left="432" w:hanging="432"/>
      </w:pPr>
      <w:r>
        <w:rPr>
          <w:sz w:val="20"/>
        </w:rPr>
        <w:t xml:space="preserve">[32] </w:t>
      </w:r>
      <w:r>
        <w:rPr>
          <w:sz w:val="20"/>
        </w:rPr>
        <w:t>A.H. Sparks, nasapower: a NASA POWER global meteorology, surface solar energy and climatology data client for R, J. Open Source Softw. 3 (30) (2018) 1035. https://doi.org/10.21105/joss.01035 [V]</w:t>
      </w:r>
    </w:p>
    <w:p>
      <w:pPr>
        <w:ind w:left="432" w:hanging="432"/>
      </w:pPr>
      <w:r>
        <w:rPr>
          <w:sz w:val="20"/>
        </w:rPr>
        <w:t xml:space="preserve">[33] </w:t>
      </w:r>
      <w:r>
        <w:rPr>
          <w:sz w:val="20"/>
        </w:rPr>
        <w:t>Streamlit Inc., Streamlit: a faster way to build and share data apps [software], 2019. https://streamlit.io (source: https://github.com/streamlit/streamlit). [D — software, no DOI]</w:t>
      </w:r>
    </w:p>
    <w:p>
      <w:pPr>
        <w:ind w:left="432" w:hanging="432"/>
      </w:pPr>
      <w:r>
        <w:rPr>
          <w:sz w:val="20"/>
        </w:rPr>
        <w:t xml:space="preserve">[34] </w:t>
      </w:r>
      <w:r>
        <w:rPr>
          <w:sz w:val="20"/>
        </w:rPr>
        <w:t>C.J. Tucker, Red and photographic infrared linear combinations for monitoring vegetation, Remote Sens. Environ. 8 (2) (1979) 127–150. https://doi.org/10.1016/0034-4257(79)90013-0 [V]</w:t>
      </w:r>
    </w:p>
    <w:p>
      <w:pPr>
        <w:ind w:left="432" w:hanging="432"/>
      </w:pPr>
      <w:r>
        <w:rPr>
          <w:sz w:val="20"/>
        </w:rPr>
        <w:t xml:space="preserve">[35] </w:t>
      </w:r>
      <w:r>
        <w:rPr>
          <w:sz w:val="20"/>
        </w:rPr>
        <w:t>T. van Klompenburg, A. Kassahun, C. Catal, Crop yield prediction using machine learning: a systematic literature review, Comput. Electron. Agric. 177 (2020) 105709. https://doi.org/10.1016/j.compag.2020.105709 [V]</w:t>
      </w:r>
    </w:p>
    <w:p>
      <w:pPr>
        <w:ind w:left="432" w:hanging="432"/>
      </w:pPr>
      <w:r>
        <w:rPr>
          <w:sz w:val="20"/>
        </w:rPr>
        <w:t xml:space="preserve">[36] </w:t>
      </w:r>
      <w:r>
        <w:rPr>
          <w:sz w:val="20"/>
        </w:rPr>
        <w:t>A. Vaswani, N. Shazeer, N. Parmar, et al., Attention is all you need, in: Advances in Neural Information Processing Systems 30 (NIPS 2017), Long Beach, CA, 2017, pp. 5998–6008. [D — no DOI; arXiv:1706.03762]</w:t>
      </w:r>
    </w:p>
    <w:p>
      <w:pPr>
        <w:ind w:left="432" w:hanging="432"/>
      </w:pPr>
      <w:r>
        <w:rPr>
          <w:sz w:val="20"/>
        </w:rPr>
        <w:t xml:space="preserve">[37] </w:t>
      </w:r>
      <w:r>
        <w:rPr>
          <w:sz w:val="20"/>
        </w:rPr>
        <w:t>L. Wang, N. Yang, X. Huang, et al., Multilingual E5 text embeddings: a technical report, arXiv:2402.05672 (2024). https://doi.org/10.48550/arXiv.2402.05672 [V]</w:t>
      </w:r>
    </w:p>
    <w:p>
      <w:pPr>
        <w:ind w:left="432" w:hanging="432"/>
      </w:pPr>
      <w:r>
        <w:rPr>
          <w:sz w:val="20"/>
        </w:rPr>
        <w:t xml:space="preserve">[38] </w:t>
      </w:r>
      <w:r>
        <w:rPr>
          <w:sz w:val="20"/>
        </w:rPr>
        <w:t>S. Wolfert, L. Ge, C. Verdouw, M.-J. Bogaardt, Big Data in smart farming – a review, Agric. Syst. 153 (2017) 69–80. https://doi.org/10.1016/j.agsy.2017.01.023 [V]</w:t>
      </w:r>
    </w:p>
    <w:p>
      <w:pPr>
        <w:ind w:left="432" w:hanging="432"/>
      </w:pPr>
      <w:r>
        <w:rPr>
          <w:sz w:val="20"/>
        </w:rPr>
        <w:t xml:space="preserve">[39] </w:t>
      </w:r>
      <w:r>
        <w:rPr>
          <w:sz w:val="20"/>
        </w:rPr>
        <w:t>D. Zanaga, R. Van De Kerchove, W. De Keersmaecker, et al., ESA WorldCover 10 m 2021 v200, Zenodo, 2022. https://doi.org/10.5281/zenodo.7254221 [V]</w:t>
      </w:r>
    </w:p>
    <w:p>
      <w:r>
        <w:br w:type="page"/>
      </w:r>
    </w:p>
    <w:p>
      <w:pPr>
        <w:pStyle w:val="Heading1"/>
      </w:pPr>
      <w:r>
        <w:rPr>
          <w:rFonts w:ascii="Times New Roman" w:hAnsi="Times New Roman"/>
          <w:color w:val="000000"/>
        </w:rPr>
        <w:t>Tables</w:t>
      </w:r>
    </w:p>
    <w:p>
      <w:r>
        <w:rPr>
          <w:b/>
          <w:sz w:val="18"/>
        </w:rPr>
        <w:t>Table 1. NDVI 7-day forecast model race (held-out; champion in bold). Source: cp2_model_karsilastirma.csv.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D9D9D9"/>
          </w:tcPr>
          <w:p>
            <w:r/>
            <w:r>
              <w:rPr>
                <w:b/>
                <w:sz w:val="18"/>
              </w:rPr>
              <w:t>Crop</w:t>
            </w:r>
          </w:p>
        </w:tc>
        <w:tc>
          <w:tcPr>
            <w:tcW w:type="dxa" w:w="2448"/>
            <w:shd w:val="clear" w:color="auto" w:fill="D9D9D9"/>
          </w:tcPr>
          <w:p>
            <w:r/>
            <w:r>
              <w:rPr>
                <w:b/>
                <w:sz w:val="18"/>
              </w:rPr>
              <w:t>Model</w:t>
            </w:r>
          </w:p>
        </w:tc>
        <w:tc>
          <w:tcPr>
            <w:tcW w:type="dxa" w:w="1296"/>
            <w:shd w:val="clear" w:color="auto" w:fill="D9D9D9"/>
          </w:tcPr>
          <w:p>
            <w:r/>
            <w:r>
              <w:rPr>
                <w:b/>
                <w:sz w:val="18"/>
              </w:rPr>
              <w:t>R²</w:t>
            </w:r>
          </w:p>
        </w:tc>
        <w:tc>
          <w:tcPr>
            <w:tcW w:type="dxa" w:w="1296"/>
            <w:shd w:val="clear" w:color="auto" w:fill="D9D9D9"/>
          </w:tcPr>
          <w:p>
            <w:r/>
            <w:r>
              <w:rPr>
                <w:b/>
                <w:sz w:val="18"/>
              </w:rPr>
              <w:t>MAE</w:t>
            </w:r>
          </w:p>
        </w:tc>
        <w:tc>
          <w:tcPr>
            <w:tcW w:type="dxa" w:w="1296"/>
            <w:shd w:val="clear" w:color="auto" w:fill="D9D9D9"/>
          </w:tcPr>
          <w:p>
            <w:r/>
            <w:r>
              <w:rPr>
                <w:b/>
                <w:sz w:val="18"/>
              </w:rPr>
              <w:t>RMSE</w:t>
            </w:r>
          </w:p>
        </w:tc>
      </w:tr>
      <w:tr>
        <w:tc>
          <w:tcPr>
            <w:tcW w:type="dxa" w:w="2016"/>
          </w:tcPr>
          <w:p>
            <w:r/>
            <w:r>
              <w:rPr>
                <w:sz w:val="18"/>
              </w:rPr>
              <w:t>Winter wheat</w:t>
            </w:r>
          </w:p>
        </w:tc>
        <w:tc>
          <w:tcPr>
            <w:tcW w:type="dxa" w:w="2448"/>
          </w:tcPr>
          <w:p>
            <w:r/>
            <w:r>
              <w:rPr>
                <w:sz w:val="18"/>
              </w:rPr>
              <w:t>LSTM (champion)</w:t>
            </w:r>
          </w:p>
        </w:tc>
        <w:tc>
          <w:tcPr>
            <w:tcW w:type="dxa" w:w="1296"/>
          </w:tcPr>
          <w:p>
            <w:r/>
            <w:r>
              <w:rPr>
                <w:sz w:val="18"/>
              </w:rPr>
              <w:t>0.752</w:t>
            </w:r>
          </w:p>
        </w:tc>
        <w:tc>
          <w:tcPr>
            <w:tcW w:type="dxa" w:w="1296"/>
          </w:tcPr>
          <w:p>
            <w:r/>
            <w:r>
              <w:rPr>
                <w:sz w:val="18"/>
              </w:rPr>
              <w:t>0.045</w:t>
            </w:r>
          </w:p>
        </w:tc>
        <w:tc>
          <w:tcPr>
            <w:tcW w:type="dxa" w:w="1296"/>
          </w:tcPr>
          <w:p>
            <w:r/>
            <w:r>
              <w:rPr>
                <w:sz w:val="18"/>
              </w:rPr>
              <w:t>0.057</w:t>
            </w:r>
          </w:p>
        </w:tc>
      </w:tr>
      <w:tr>
        <w:tc>
          <w:tcPr>
            <w:tcW w:type="dxa" w:w="2016"/>
          </w:tcPr>
          <w:p>
            <w:r/>
            <w:r>
              <w:rPr>
                <w:sz w:val="18"/>
              </w:rPr>
            </w:r>
          </w:p>
        </w:tc>
        <w:tc>
          <w:tcPr>
            <w:tcW w:type="dxa" w:w="2448"/>
          </w:tcPr>
          <w:p>
            <w:r/>
            <w:r>
              <w:rPr>
                <w:sz w:val="18"/>
              </w:rPr>
              <w:t>Conv-LSTM</w:t>
            </w:r>
          </w:p>
        </w:tc>
        <w:tc>
          <w:tcPr>
            <w:tcW w:type="dxa" w:w="1296"/>
          </w:tcPr>
          <w:p>
            <w:r/>
            <w:r>
              <w:rPr>
                <w:sz w:val="18"/>
              </w:rPr>
              <w:t>0.715</w:t>
            </w:r>
          </w:p>
        </w:tc>
        <w:tc>
          <w:tcPr>
            <w:tcW w:type="dxa" w:w="1296"/>
          </w:tcPr>
          <w:p>
            <w:r/>
            <w:r>
              <w:rPr>
                <w:sz w:val="18"/>
              </w:rPr>
              <w:t>0.045</w:t>
            </w:r>
          </w:p>
        </w:tc>
        <w:tc>
          <w:tcPr>
            <w:tcW w:type="dxa" w:w="1296"/>
          </w:tcPr>
          <w:p>
            <w:r/>
            <w:r>
              <w:rPr>
                <w:sz w:val="18"/>
              </w:rPr>
              <w:t>0.055</w:t>
            </w:r>
          </w:p>
        </w:tc>
      </w:tr>
      <w:tr>
        <w:tc>
          <w:tcPr>
            <w:tcW w:type="dxa" w:w="2016"/>
          </w:tcPr>
          <w:p>
            <w:r/>
            <w:r>
              <w:rPr>
                <w:sz w:val="18"/>
              </w:rPr>
            </w:r>
          </w:p>
        </w:tc>
        <w:tc>
          <w:tcPr>
            <w:tcW w:type="dxa" w:w="2448"/>
          </w:tcPr>
          <w:p>
            <w:r/>
            <w:r>
              <w:rPr>
                <w:sz w:val="18"/>
              </w:rPr>
              <w:t>Attention-LSTM</w:t>
            </w:r>
          </w:p>
        </w:tc>
        <w:tc>
          <w:tcPr>
            <w:tcW w:type="dxa" w:w="1296"/>
          </w:tcPr>
          <w:p>
            <w:r/>
            <w:r>
              <w:rPr>
                <w:sz w:val="18"/>
              </w:rPr>
              <w:t>0.702</w:t>
            </w:r>
          </w:p>
        </w:tc>
        <w:tc>
          <w:tcPr>
            <w:tcW w:type="dxa" w:w="1296"/>
          </w:tcPr>
          <w:p>
            <w:r/>
            <w:r>
              <w:rPr>
                <w:sz w:val="18"/>
              </w:rPr>
              <w:t>0.046</w:t>
            </w:r>
          </w:p>
        </w:tc>
        <w:tc>
          <w:tcPr>
            <w:tcW w:type="dxa" w:w="1296"/>
          </w:tcPr>
          <w:p>
            <w:r/>
            <w:r>
              <w:rPr>
                <w:sz w:val="18"/>
              </w:rPr>
              <w:t>0.058</w:t>
            </w:r>
          </w:p>
        </w:tc>
      </w:tr>
      <w:tr>
        <w:tc>
          <w:tcPr>
            <w:tcW w:type="dxa" w:w="2016"/>
          </w:tcPr>
          <w:p>
            <w:r/>
            <w:r>
              <w:rPr>
                <w:sz w:val="18"/>
              </w:rPr>
            </w:r>
          </w:p>
        </w:tc>
        <w:tc>
          <w:tcPr>
            <w:tcW w:type="dxa" w:w="2448"/>
          </w:tcPr>
          <w:p>
            <w:r/>
            <w:r>
              <w:rPr>
                <w:sz w:val="18"/>
              </w:rPr>
              <w:t>XGBoost</w:t>
            </w:r>
          </w:p>
        </w:tc>
        <w:tc>
          <w:tcPr>
            <w:tcW w:type="dxa" w:w="1296"/>
          </w:tcPr>
          <w:p>
            <w:r/>
            <w:r>
              <w:rPr>
                <w:sz w:val="18"/>
              </w:rPr>
              <w:t>0.701</w:t>
            </w:r>
          </w:p>
        </w:tc>
        <w:tc>
          <w:tcPr>
            <w:tcW w:type="dxa" w:w="1296"/>
          </w:tcPr>
          <w:p>
            <w:r/>
            <w:r>
              <w:rPr>
                <w:sz w:val="18"/>
              </w:rPr>
              <w:t>0.046</w:t>
            </w:r>
          </w:p>
        </w:tc>
        <w:tc>
          <w:tcPr>
            <w:tcW w:type="dxa" w:w="1296"/>
          </w:tcPr>
          <w:p>
            <w:r/>
            <w:r>
              <w:rPr>
                <w:sz w:val="18"/>
              </w:rPr>
              <w:t>0.058</w:t>
            </w:r>
          </w:p>
        </w:tc>
      </w:tr>
      <w:tr>
        <w:tc>
          <w:tcPr>
            <w:tcW w:type="dxa" w:w="2016"/>
          </w:tcPr>
          <w:p>
            <w:r/>
            <w:r>
              <w:rPr>
                <w:sz w:val="18"/>
              </w:rPr>
              <w:t>Sunflower</w:t>
            </w:r>
          </w:p>
        </w:tc>
        <w:tc>
          <w:tcPr>
            <w:tcW w:type="dxa" w:w="2448"/>
          </w:tcPr>
          <w:p>
            <w:r/>
            <w:r>
              <w:rPr>
                <w:sz w:val="18"/>
              </w:rPr>
              <w:t>LSTM (champion)</w:t>
            </w:r>
          </w:p>
        </w:tc>
        <w:tc>
          <w:tcPr>
            <w:tcW w:type="dxa" w:w="1296"/>
          </w:tcPr>
          <w:p>
            <w:r/>
            <w:r>
              <w:rPr>
                <w:sz w:val="18"/>
              </w:rPr>
              <w:t>0.796</w:t>
            </w:r>
          </w:p>
        </w:tc>
        <w:tc>
          <w:tcPr>
            <w:tcW w:type="dxa" w:w="1296"/>
          </w:tcPr>
          <w:p>
            <w:r/>
            <w:r>
              <w:rPr>
                <w:sz w:val="18"/>
              </w:rPr>
              <w:t>0.041</w:t>
            </w:r>
          </w:p>
        </w:tc>
        <w:tc>
          <w:tcPr>
            <w:tcW w:type="dxa" w:w="1296"/>
          </w:tcPr>
          <w:p>
            <w:r/>
            <w:r>
              <w:rPr>
                <w:sz w:val="18"/>
              </w:rPr>
              <w:t>0.051</w:t>
            </w:r>
          </w:p>
        </w:tc>
      </w:tr>
      <w:tr>
        <w:tc>
          <w:tcPr>
            <w:tcW w:type="dxa" w:w="2016"/>
          </w:tcPr>
          <w:p>
            <w:r/>
            <w:r>
              <w:rPr>
                <w:sz w:val="18"/>
              </w:rPr>
            </w:r>
          </w:p>
        </w:tc>
        <w:tc>
          <w:tcPr>
            <w:tcW w:type="dxa" w:w="2448"/>
          </w:tcPr>
          <w:p>
            <w:r/>
            <w:r>
              <w:rPr>
                <w:sz w:val="18"/>
              </w:rPr>
              <w:t>XGBoost</w:t>
            </w:r>
          </w:p>
        </w:tc>
        <w:tc>
          <w:tcPr>
            <w:tcW w:type="dxa" w:w="1296"/>
          </w:tcPr>
          <w:p>
            <w:r/>
            <w:r>
              <w:rPr>
                <w:sz w:val="18"/>
              </w:rPr>
              <w:t>0.791</w:t>
            </w:r>
          </w:p>
        </w:tc>
        <w:tc>
          <w:tcPr>
            <w:tcW w:type="dxa" w:w="1296"/>
          </w:tcPr>
          <w:p>
            <w:r/>
            <w:r>
              <w:rPr>
                <w:sz w:val="18"/>
              </w:rPr>
              <w:t>0.040</w:t>
            </w:r>
          </w:p>
        </w:tc>
        <w:tc>
          <w:tcPr>
            <w:tcW w:type="dxa" w:w="1296"/>
          </w:tcPr>
          <w:p>
            <w:r/>
            <w:r>
              <w:rPr>
                <w:sz w:val="18"/>
              </w:rPr>
              <w:t>0.050</w:t>
            </w:r>
          </w:p>
        </w:tc>
      </w:tr>
      <w:tr>
        <w:tc>
          <w:tcPr>
            <w:tcW w:type="dxa" w:w="2016"/>
          </w:tcPr>
          <w:p>
            <w:r/>
            <w:r>
              <w:rPr>
                <w:sz w:val="18"/>
              </w:rPr>
            </w:r>
          </w:p>
        </w:tc>
        <w:tc>
          <w:tcPr>
            <w:tcW w:type="dxa" w:w="2448"/>
          </w:tcPr>
          <w:p>
            <w:r/>
            <w:r>
              <w:rPr>
                <w:sz w:val="18"/>
              </w:rPr>
              <w:t>Attention-LSTM</w:t>
            </w:r>
          </w:p>
        </w:tc>
        <w:tc>
          <w:tcPr>
            <w:tcW w:type="dxa" w:w="1296"/>
          </w:tcPr>
          <w:p>
            <w:r/>
            <w:r>
              <w:rPr>
                <w:sz w:val="18"/>
              </w:rPr>
              <w:t>0.790</w:t>
            </w:r>
          </w:p>
        </w:tc>
        <w:tc>
          <w:tcPr>
            <w:tcW w:type="dxa" w:w="1296"/>
          </w:tcPr>
          <w:p>
            <w:r/>
            <w:r>
              <w:rPr>
                <w:sz w:val="18"/>
              </w:rPr>
              <w:t>0.042</w:t>
            </w:r>
          </w:p>
        </w:tc>
        <w:tc>
          <w:tcPr>
            <w:tcW w:type="dxa" w:w="1296"/>
          </w:tcPr>
          <w:p>
            <w:r/>
            <w:r>
              <w:rPr>
                <w:sz w:val="18"/>
              </w:rPr>
              <w:t>0.052</w:t>
            </w:r>
          </w:p>
        </w:tc>
      </w:tr>
      <w:tr>
        <w:tc>
          <w:tcPr>
            <w:tcW w:type="dxa" w:w="2016"/>
          </w:tcPr>
          <w:p>
            <w:r/>
            <w:r>
              <w:rPr>
                <w:sz w:val="18"/>
              </w:rPr>
            </w:r>
          </w:p>
        </w:tc>
        <w:tc>
          <w:tcPr>
            <w:tcW w:type="dxa" w:w="2448"/>
          </w:tcPr>
          <w:p>
            <w:r/>
            <w:r>
              <w:rPr>
                <w:sz w:val="18"/>
              </w:rPr>
              <w:t>Conv-LSTM</w:t>
            </w:r>
          </w:p>
        </w:tc>
        <w:tc>
          <w:tcPr>
            <w:tcW w:type="dxa" w:w="1296"/>
          </w:tcPr>
          <w:p>
            <w:r/>
            <w:r>
              <w:rPr>
                <w:sz w:val="18"/>
              </w:rPr>
              <w:t>0.777</w:t>
            </w:r>
          </w:p>
        </w:tc>
        <w:tc>
          <w:tcPr>
            <w:tcW w:type="dxa" w:w="1296"/>
          </w:tcPr>
          <w:p>
            <w:r/>
            <w:r>
              <w:rPr>
                <w:sz w:val="18"/>
              </w:rPr>
              <w:t>0.042</w:t>
            </w:r>
          </w:p>
        </w:tc>
        <w:tc>
          <w:tcPr>
            <w:tcW w:type="dxa" w:w="1296"/>
          </w:tcPr>
          <w:p>
            <w:r/>
            <w:r>
              <w:rPr>
                <w:sz w:val="18"/>
              </w:rPr>
              <w:t>0.052</w:t>
            </w:r>
          </w:p>
        </w:tc>
      </w:tr>
    </w:tbl>
    <w:p/>
    <w:p>
      <w:r>
        <w:rPr>
          <w:b/>
          <w:sz w:val="18"/>
        </w:rPr>
        <w:t>Table 2. District-yield cross-validation, Layer C (n=213 wheat, 209 sunflower). Source: reports/cp25/07_layer_c_results.csv; champions from 12_master_comparison.csv.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9D9D9"/>
          </w:tcPr>
          <w:p>
            <w:r/>
            <w:r>
              <w:rPr>
                <w:b/>
                <w:sz w:val="18"/>
              </w:rPr>
              <w:t>Crop</w:t>
            </w:r>
          </w:p>
        </w:tc>
        <w:tc>
          <w:tcPr>
            <w:tcW w:type="dxa" w:w="2160"/>
            <w:shd w:val="clear" w:color="auto" w:fill="D9D9D9"/>
          </w:tcPr>
          <w:p>
            <w:r/>
            <w:r>
              <w:rPr>
                <w:b/>
                <w:sz w:val="18"/>
              </w:rPr>
              <w:t>CV</w:t>
            </w:r>
          </w:p>
        </w:tc>
        <w:tc>
          <w:tcPr>
            <w:tcW w:type="dxa" w:w="1584"/>
            <w:shd w:val="clear" w:color="auto" w:fill="D9D9D9"/>
          </w:tcPr>
          <w:p>
            <w:r/>
            <w:r>
              <w:rPr>
                <w:b/>
                <w:sz w:val="18"/>
              </w:rPr>
              <w:t>Best model</w:t>
            </w:r>
          </w:p>
        </w:tc>
        <w:tc>
          <w:tcPr>
            <w:tcW w:type="dxa" w:w="1440"/>
            <w:shd w:val="clear" w:color="auto" w:fill="D9D9D9"/>
          </w:tcPr>
          <w:p>
            <w:r/>
            <w:r>
              <w:rPr>
                <w:b/>
                <w:sz w:val="18"/>
              </w:rPr>
              <w:t>MAPE (%)</w:t>
            </w:r>
          </w:p>
        </w:tc>
        <w:tc>
          <w:tcPr>
            <w:tcW w:type="dxa" w:w="1296"/>
            <w:shd w:val="clear" w:color="auto" w:fill="D9D9D9"/>
          </w:tcPr>
          <w:p>
            <w:r/>
            <w:r>
              <w:rPr>
                <w:b/>
                <w:sz w:val="18"/>
              </w:rPr>
              <w:t>R²</w:t>
            </w:r>
          </w:p>
        </w:tc>
      </w:tr>
      <w:tr>
        <w:tc>
          <w:tcPr>
            <w:tcW w:type="dxa" w:w="1872"/>
          </w:tcPr>
          <w:p>
            <w:r/>
            <w:r>
              <w:rPr>
                <w:sz w:val="18"/>
              </w:rPr>
              <w:t>Winter wheat</w:t>
            </w:r>
          </w:p>
        </w:tc>
        <w:tc>
          <w:tcPr>
            <w:tcW w:type="dxa" w:w="2160"/>
          </w:tcPr>
          <w:p>
            <w:r/>
            <w:r>
              <w:rPr>
                <w:sz w:val="18"/>
              </w:rPr>
              <w:t>LOYO (temporal)</w:t>
            </w:r>
          </w:p>
        </w:tc>
        <w:tc>
          <w:tcPr>
            <w:tcW w:type="dxa" w:w="1584"/>
          </w:tcPr>
          <w:p>
            <w:r/>
            <w:r>
              <w:rPr>
                <w:sz w:val="18"/>
              </w:rPr>
              <w:t>XGBoost</w:t>
            </w:r>
          </w:p>
        </w:tc>
        <w:tc>
          <w:tcPr>
            <w:tcW w:type="dxa" w:w="1440"/>
          </w:tcPr>
          <w:p>
            <w:r/>
            <w:r>
              <w:rPr>
                <w:sz w:val="18"/>
              </w:rPr>
              <w:t>16.4</w:t>
            </w:r>
          </w:p>
        </w:tc>
        <w:tc>
          <w:tcPr>
            <w:tcW w:type="dxa" w:w="1296"/>
          </w:tcPr>
          <w:p>
            <w:r/>
            <w:r>
              <w:rPr>
                <w:sz w:val="18"/>
              </w:rPr>
              <w:t>−0.311</w:t>
            </w:r>
          </w:p>
        </w:tc>
      </w:tr>
      <w:tr>
        <w:tc>
          <w:tcPr>
            <w:tcW w:type="dxa" w:w="1872"/>
          </w:tcPr>
          <w:p>
            <w:r/>
            <w:r>
              <w:rPr>
                <w:sz w:val="18"/>
              </w:rPr>
              <w:t>Winter wheat</w:t>
            </w:r>
          </w:p>
        </w:tc>
        <w:tc>
          <w:tcPr>
            <w:tcW w:type="dxa" w:w="2160"/>
          </w:tcPr>
          <w:p>
            <w:r/>
            <w:r>
              <w:rPr>
                <w:sz w:val="18"/>
              </w:rPr>
              <w:t>LOILO (spatial)</w:t>
            </w:r>
          </w:p>
        </w:tc>
        <w:tc>
          <w:tcPr>
            <w:tcW w:type="dxa" w:w="1584"/>
          </w:tcPr>
          <w:p>
            <w:r/>
            <w:r>
              <w:rPr>
                <w:sz w:val="18"/>
              </w:rPr>
              <w:t>XGBoost</w:t>
            </w:r>
          </w:p>
        </w:tc>
        <w:tc>
          <w:tcPr>
            <w:tcW w:type="dxa" w:w="1440"/>
          </w:tcPr>
          <w:p>
            <w:r/>
            <w:r>
              <w:rPr>
                <w:sz w:val="18"/>
              </w:rPr>
              <w:t>10.6</w:t>
            </w:r>
          </w:p>
        </w:tc>
        <w:tc>
          <w:tcPr>
            <w:tcW w:type="dxa" w:w="1296"/>
          </w:tcPr>
          <w:p>
            <w:r/>
            <w:r>
              <w:rPr>
                <w:sz w:val="18"/>
              </w:rPr>
              <w:t>0.427</w:t>
            </w:r>
          </w:p>
        </w:tc>
      </w:tr>
      <w:tr>
        <w:tc>
          <w:tcPr>
            <w:tcW w:type="dxa" w:w="1872"/>
          </w:tcPr>
          <w:p>
            <w:r/>
            <w:r>
              <w:rPr>
                <w:sz w:val="18"/>
              </w:rPr>
              <w:t>Sunflower</w:t>
            </w:r>
          </w:p>
        </w:tc>
        <w:tc>
          <w:tcPr>
            <w:tcW w:type="dxa" w:w="2160"/>
          </w:tcPr>
          <w:p>
            <w:r/>
            <w:r>
              <w:rPr>
                <w:sz w:val="18"/>
              </w:rPr>
              <w:t>LOYO (temporal)</w:t>
            </w:r>
          </w:p>
        </w:tc>
        <w:tc>
          <w:tcPr>
            <w:tcW w:type="dxa" w:w="1584"/>
          </w:tcPr>
          <w:p>
            <w:r/>
            <w:r>
              <w:rPr>
                <w:sz w:val="18"/>
              </w:rPr>
              <w:t>GPR</w:t>
            </w:r>
          </w:p>
        </w:tc>
        <w:tc>
          <w:tcPr>
            <w:tcW w:type="dxa" w:w="1440"/>
          </w:tcPr>
          <w:p>
            <w:r/>
            <w:r>
              <w:rPr>
                <w:sz w:val="18"/>
              </w:rPr>
              <w:t>17.8</w:t>
            </w:r>
          </w:p>
        </w:tc>
        <w:tc>
          <w:tcPr>
            <w:tcW w:type="dxa" w:w="1296"/>
          </w:tcPr>
          <w:p>
            <w:r/>
            <w:r>
              <w:rPr>
                <w:sz w:val="18"/>
              </w:rPr>
              <w:t>0.386</w:t>
            </w:r>
          </w:p>
        </w:tc>
      </w:tr>
      <w:tr>
        <w:tc>
          <w:tcPr>
            <w:tcW w:type="dxa" w:w="1872"/>
          </w:tcPr>
          <w:p>
            <w:r/>
            <w:r>
              <w:rPr>
                <w:sz w:val="18"/>
              </w:rPr>
              <w:t>Sunflower</w:t>
            </w:r>
          </w:p>
        </w:tc>
        <w:tc>
          <w:tcPr>
            <w:tcW w:type="dxa" w:w="2160"/>
          </w:tcPr>
          <w:p>
            <w:r/>
            <w:r>
              <w:rPr>
                <w:sz w:val="18"/>
              </w:rPr>
              <w:t>LOILO (spatial)</w:t>
            </w:r>
          </w:p>
        </w:tc>
        <w:tc>
          <w:tcPr>
            <w:tcW w:type="dxa" w:w="1584"/>
          </w:tcPr>
          <w:p>
            <w:r/>
            <w:r>
              <w:rPr>
                <w:sz w:val="18"/>
              </w:rPr>
              <w:t>GPR</w:t>
            </w:r>
          </w:p>
        </w:tc>
        <w:tc>
          <w:tcPr>
            <w:tcW w:type="dxa" w:w="1440"/>
          </w:tcPr>
          <w:p>
            <w:r/>
            <w:r>
              <w:rPr>
                <w:sz w:val="18"/>
              </w:rPr>
              <w:t>13.5</w:t>
            </w:r>
          </w:p>
        </w:tc>
        <w:tc>
          <w:tcPr>
            <w:tcW w:type="dxa" w:w="1296"/>
          </w:tcPr>
          <w:p>
            <w:r/>
            <w:r>
              <w:rPr>
                <w:sz w:val="18"/>
              </w:rPr>
              <w:t>0.582</w:t>
            </w:r>
          </w:p>
        </w:tc>
      </w:tr>
    </w:tbl>
    <w:p/>
    <w:p>
      <w:r>
        <w:rPr>
          <w:i/>
          <w:color w:val="707070"/>
          <w:sz w:val="18"/>
        </w:rPr>
        <w:t>LOYO champions overall: winter wheat = B0 climatology (R²=0.213; no ML beats it); sunflower = Layer-C GPR (R²=0.386, skill score +0.225). The spatial&gt;temporal interpretation is cited from the companion paper.</w:t>
      </w:r>
    </w:p>
    <w:p>
      <w:r>
        <w:rPr>
          <w:b/>
          <w:sz w:val="18"/>
        </w:rPr>
        <w:t>Table 3. YOLOv8s-cls crop-health per-class accuracy (validation set). Source: outputs/reports/test_raporu.md.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D9D9D9"/>
          </w:tcPr>
          <w:p>
            <w:r/>
            <w:r>
              <w:rPr>
                <w:b/>
                <w:sz w:val="18"/>
              </w:rPr>
              <w:t>Class</w:t>
            </w:r>
          </w:p>
        </w:tc>
        <w:tc>
          <w:tcPr>
            <w:tcW w:type="dxa" w:w="1728"/>
            <w:shd w:val="clear" w:color="auto" w:fill="D9D9D9"/>
          </w:tcPr>
          <w:p>
            <w:r/>
            <w:r>
              <w:rPr>
                <w:b/>
                <w:sz w:val="18"/>
              </w:rPr>
              <w:t>Accuracy (%)</w:t>
            </w:r>
          </w:p>
        </w:tc>
        <w:tc>
          <w:tcPr>
            <w:tcW w:type="dxa" w:w="4608"/>
            <w:shd w:val="clear" w:color="auto" w:fill="D9D9D9"/>
          </w:tcPr>
          <w:p>
            <w:r/>
            <w:r>
              <w:rPr>
                <w:b/>
                <w:sz w:val="18"/>
              </w:rPr>
              <w:t>Note</w:t>
            </w:r>
          </w:p>
        </w:tc>
      </w:tr>
      <w:tr>
        <w:tc>
          <w:tcPr>
            <w:tcW w:type="dxa" w:w="2448"/>
          </w:tcPr>
          <w:p>
            <w:r/>
            <w:r>
              <w:rPr>
                <w:sz w:val="18"/>
              </w:rPr>
              <w:t>Overall (top-1)</w:t>
            </w:r>
          </w:p>
        </w:tc>
        <w:tc>
          <w:tcPr>
            <w:tcW w:type="dxa" w:w="1728"/>
          </w:tcPr>
          <w:p>
            <w:r/>
            <w:r>
              <w:rPr>
                <w:sz w:val="18"/>
              </w:rPr>
              <w:t>94.9</w:t>
            </w:r>
          </w:p>
        </w:tc>
        <w:tc>
          <w:tcPr>
            <w:tcW w:type="dxa" w:w="4608"/>
          </w:tcPr>
          <w:p>
            <w:r/>
            <w:r>
              <w:rPr>
                <w:sz w:val="18"/>
              </w:rPr>
            </w:r>
          </w:p>
        </w:tc>
      </w:tr>
      <w:tr>
        <w:tc>
          <w:tcPr>
            <w:tcW w:type="dxa" w:w="2448"/>
          </w:tcPr>
          <w:p>
            <w:r/>
            <w:r>
              <w:rPr>
                <w:sz w:val="18"/>
              </w:rPr>
              <w:t>Healthy wheat</w:t>
            </w:r>
          </w:p>
        </w:tc>
        <w:tc>
          <w:tcPr>
            <w:tcW w:type="dxa" w:w="1728"/>
          </w:tcPr>
          <w:p>
            <w:r/>
            <w:r>
              <w:rPr>
                <w:sz w:val="18"/>
              </w:rPr>
              <w:t>98.0</w:t>
            </w:r>
          </w:p>
        </w:tc>
        <w:tc>
          <w:tcPr>
            <w:tcW w:type="dxa" w:w="4608"/>
          </w:tcPr>
          <w:p>
            <w:r/>
            <w:r>
              <w:rPr>
                <w:sz w:val="18"/>
              </w:rPr>
            </w:r>
          </w:p>
        </w:tc>
      </w:tr>
      <w:tr>
        <w:tc>
          <w:tcPr>
            <w:tcW w:type="dxa" w:w="2448"/>
          </w:tcPr>
          <w:p>
            <w:r/>
            <w:r>
              <w:rPr>
                <w:sz w:val="18"/>
              </w:rPr>
              <w:t>Healthy sunflower</w:t>
            </w:r>
          </w:p>
        </w:tc>
        <w:tc>
          <w:tcPr>
            <w:tcW w:type="dxa" w:w="1728"/>
          </w:tcPr>
          <w:p>
            <w:r/>
            <w:r>
              <w:rPr>
                <w:sz w:val="18"/>
              </w:rPr>
              <w:t>100.0</w:t>
            </w:r>
          </w:p>
        </w:tc>
        <w:tc>
          <w:tcPr>
            <w:tcW w:type="dxa" w:w="4608"/>
          </w:tcPr>
          <w:p>
            <w:r/>
            <w:r>
              <w:rPr>
                <w:sz w:val="18"/>
              </w:rPr>
            </w:r>
          </w:p>
        </w:tc>
      </w:tr>
      <w:tr>
        <w:tc>
          <w:tcPr>
            <w:tcW w:type="dxa" w:w="2448"/>
          </w:tcPr>
          <w:p>
            <w:r/>
            <w:r>
              <w:rPr>
                <w:sz w:val="18"/>
              </w:rPr>
              <w:t>Rust</w:t>
            </w:r>
          </w:p>
        </w:tc>
        <w:tc>
          <w:tcPr>
            <w:tcW w:type="dxa" w:w="1728"/>
          </w:tcPr>
          <w:p>
            <w:r/>
            <w:r>
              <w:rPr>
                <w:sz w:val="18"/>
              </w:rPr>
              <w:t>91.0</w:t>
            </w:r>
          </w:p>
        </w:tc>
        <w:tc>
          <w:tcPr>
            <w:tcW w:type="dxa" w:w="4608"/>
          </w:tcPr>
          <w:p>
            <w:r/>
            <w:r>
              <w:rPr>
                <w:sz w:val="18"/>
              </w:rPr>
            </w:r>
          </w:p>
        </w:tc>
      </w:tr>
      <w:tr>
        <w:tc>
          <w:tcPr>
            <w:tcW w:type="dxa" w:w="2448"/>
          </w:tcPr>
          <w:p>
            <w:r/>
            <w:r>
              <w:rPr>
                <w:sz w:val="18"/>
              </w:rPr>
              <w:t>Downy mildew</w:t>
            </w:r>
          </w:p>
        </w:tc>
        <w:tc>
          <w:tcPr>
            <w:tcW w:type="dxa" w:w="1728"/>
          </w:tcPr>
          <w:p>
            <w:r/>
            <w:r>
              <w:rPr>
                <w:sz w:val="18"/>
              </w:rPr>
              <w:t>99.1</w:t>
            </w:r>
          </w:p>
        </w:tc>
        <w:tc>
          <w:tcPr>
            <w:tcW w:type="dxa" w:w="4608"/>
          </w:tcPr>
          <w:p>
            <w:r/>
            <w:r>
              <w:rPr>
                <w:sz w:val="18"/>
              </w:rPr>
            </w:r>
          </w:p>
        </w:tc>
      </w:tr>
      <w:tr>
        <w:tc>
          <w:tcPr>
            <w:tcW w:type="dxa" w:w="2448"/>
          </w:tcPr>
          <w:p>
            <w:r/>
            <w:r>
              <w:rPr>
                <w:sz w:val="18"/>
              </w:rPr>
              <w:t>Nutrient stress</w:t>
            </w:r>
          </w:p>
        </w:tc>
        <w:tc>
          <w:tcPr>
            <w:tcW w:type="dxa" w:w="1728"/>
          </w:tcPr>
          <w:p>
            <w:r/>
            <w:r>
              <w:rPr>
                <w:sz w:val="18"/>
              </w:rPr>
              <w:t>85.2</w:t>
            </w:r>
          </w:p>
        </w:tc>
        <w:tc>
          <w:tcPr>
            <w:tcW w:type="dxa" w:w="4608"/>
          </w:tcPr>
          <w:p>
            <w:r/>
            <w:r>
              <w:rPr>
                <w:sz w:val="18"/>
              </w:rPr>
            </w:r>
          </w:p>
        </w:tc>
      </w:tr>
      <w:tr>
        <w:tc>
          <w:tcPr>
            <w:tcW w:type="dxa" w:w="2448"/>
          </w:tcPr>
          <w:p>
            <w:r/>
            <w:r>
              <w:rPr>
                <w:sz w:val="18"/>
              </w:rPr>
              <w:t>Drought stress</w:t>
            </w:r>
          </w:p>
        </w:tc>
        <w:tc>
          <w:tcPr>
            <w:tcW w:type="dxa" w:w="1728"/>
          </w:tcPr>
          <w:p>
            <w:r/>
            <w:r>
              <w:rPr>
                <w:sz w:val="18"/>
              </w:rPr>
              <w:t>100.0</w:t>
            </w:r>
          </w:p>
        </w:tc>
        <w:tc>
          <w:tcPr>
            <w:tcW w:type="dxa" w:w="4608"/>
          </w:tcPr>
          <w:p>
            <w:r/>
            <w:r>
              <w:rPr>
                <w:sz w:val="18"/>
              </w:rPr>
              <w:t>Overfit — 360 images, augmentation needed</w:t>
            </w:r>
          </w:p>
        </w:tc>
      </w:tr>
    </w:tbl>
    <w:p/>
    <w:p>
      <w:r>
        <w:rPr>
          <w:b/>
          <w:sz w:val="18"/>
        </w:rPr>
        <w:t>Table 4. Component inventory and operational status. Source: repository audit (Section 2).</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D9D9D9"/>
          </w:tcPr>
          <w:p>
            <w:r/>
            <w:r>
              <w:rPr>
                <w:b/>
                <w:sz w:val="16"/>
              </w:rPr>
              <w:t>Component</w:t>
            </w:r>
          </w:p>
        </w:tc>
        <w:tc>
          <w:tcPr>
            <w:tcW w:type="dxa" w:w="1872"/>
            <w:shd w:val="clear" w:color="auto" w:fill="D9D9D9"/>
          </w:tcPr>
          <w:p>
            <w:r/>
            <w:r>
              <w:rPr>
                <w:b/>
                <w:sz w:val="16"/>
              </w:rPr>
              <w:t>Status</w:t>
            </w:r>
          </w:p>
        </w:tc>
        <w:tc>
          <w:tcPr>
            <w:tcW w:type="dxa" w:w="3456"/>
            <w:shd w:val="clear" w:color="auto" w:fill="D9D9D9"/>
          </w:tcPr>
          <w:p>
            <w:r/>
            <w:r>
              <w:rPr>
                <w:b/>
                <w:sz w:val="16"/>
              </w:rPr>
              <w:t>Disclosure</w:t>
            </w:r>
          </w:p>
        </w:tc>
      </w:tr>
      <w:tr>
        <w:tc>
          <w:tcPr>
            <w:tcW w:type="dxa" w:w="3600"/>
          </w:tcPr>
          <w:p>
            <w:r/>
            <w:r>
              <w:rPr>
                <w:sz w:val="16"/>
              </w:rPr>
              <w:t>Multi-modal ETL (S2/ERA5-Land/SoilGrids)</w:t>
            </w:r>
          </w:p>
        </w:tc>
        <w:tc>
          <w:tcPr>
            <w:tcW w:type="dxa" w:w="1872"/>
          </w:tcPr>
          <w:p>
            <w:r/>
            <w:r>
              <w:rPr>
                <w:sz w:val="16"/>
              </w:rPr>
              <w:t>Operational</w:t>
            </w:r>
          </w:p>
        </w:tc>
        <w:tc>
          <w:tcPr>
            <w:tcW w:type="dxa" w:w="3456"/>
          </w:tcPr>
          <w:p>
            <w:r/>
            <w:r>
              <w:rPr>
                <w:sz w:val="16"/>
              </w:rPr>
              <w:t>cache-backed</w:t>
            </w:r>
          </w:p>
        </w:tc>
      </w:tr>
      <w:tr>
        <w:tc>
          <w:tcPr>
            <w:tcW w:type="dxa" w:w="3600"/>
          </w:tcPr>
          <w:p>
            <w:r/>
            <w:r>
              <w:rPr>
                <w:sz w:val="16"/>
              </w:rPr>
              <w:t>NDVI-LSTM forecaster</w:t>
            </w:r>
          </w:p>
        </w:tc>
        <w:tc>
          <w:tcPr>
            <w:tcW w:type="dxa" w:w="1872"/>
          </w:tcPr>
          <w:p>
            <w:r/>
            <w:r>
              <w:rPr>
                <w:sz w:val="16"/>
              </w:rPr>
              <w:t>Operational</w:t>
            </w:r>
          </w:p>
        </w:tc>
        <w:tc>
          <w:tcPr>
            <w:tcW w:type="dxa" w:w="3456"/>
          </w:tcPr>
          <w:p>
            <w:r/>
            <w:r>
              <w:rPr>
                <w:sz w:val="16"/>
              </w:rPr>
              <w:t>test-window fallback when no live data</w:t>
            </w:r>
          </w:p>
        </w:tc>
      </w:tr>
      <w:tr>
        <w:tc>
          <w:tcPr>
            <w:tcW w:type="dxa" w:w="3600"/>
          </w:tcPr>
          <w:p>
            <w:r/>
            <w:r>
              <w:rPr>
                <w:sz w:val="16"/>
              </w:rPr>
              <w:t>Layered yield estimator</w:t>
            </w:r>
          </w:p>
        </w:tc>
        <w:tc>
          <w:tcPr>
            <w:tcW w:type="dxa" w:w="1872"/>
          </w:tcPr>
          <w:p>
            <w:r/>
            <w:r>
              <w:rPr>
                <w:sz w:val="16"/>
              </w:rPr>
              <w:t>Operational</w:t>
            </w:r>
          </w:p>
        </w:tc>
        <w:tc>
          <w:tcPr>
            <w:tcW w:type="dxa" w:w="3456"/>
          </w:tcPr>
          <w:p>
            <w:r/>
            <w:r>
              <w:rPr>
                <w:sz w:val="16"/>
              </w:rPr>
              <w:t>wheat defers to climatology</w:t>
            </w:r>
          </w:p>
        </w:tc>
      </w:tr>
      <w:tr>
        <w:tc>
          <w:tcPr>
            <w:tcW w:type="dxa" w:w="3600"/>
          </w:tcPr>
          <w:p>
            <w:r/>
            <w:r>
              <w:rPr>
                <w:sz w:val="16"/>
              </w:rPr>
              <w:t>YOLOv8 crop-health (fog)</w:t>
            </w:r>
          </w:p>
        </w:tc>
        <w:tc>
          <w:tcPr>
            <w:tcW w:type="dxa" w:w="1872"/>
          </w:tcPr>
          <w:p>
            <w:r/>
            <w:r>
              <w:rPr>
                <w:sz w:val="16"/>
              </w:rPr>
              <w:t>Operational</w:t>
            </w:r>
          </w:p>
        </w:tc>
        <w:tc>
          <w:tcPr>
            <w:tcW w:type="dxa" w:w="3456"/>
          </w:tcPr>
          <w:p>
            <w:r/>
            <w:r>
              <w:rPr>
                <w:sz w:val="16"/>
              </w:rPr>
              <w:t>mock fallback flagged if model absent</w:t>
            </w:r>
          </w:p>
        </w:tc>
      </w:tr>
      <w:tr>
        <w:tc>
          <w:tcPr>
            <w:tcW w:type="dxa" w:w="3600"/>
          </w:tcPr>
          <w:p>
            <w:r/>
            <w:r>
              <w:rPr>
                <w:sz w:val="16"/>
              </w:rPr>
              <w:t>ESP32-CAM on-device classifier</w:t>
            </w:r>
          </w:p>
        </w:tc>
        <w:tc>
          <w:tcPr>
            <w:tcW w:type="dxa" w:w="1872"/>
          </w:tcPr>
          <w:p>
            <w:r/>
            <w:r>
              <w:rPr>
                <w:sz w:val="16"/>
              </w:rPr>
              <w:t>Placeholder</w:t>
            </w:r>
          </w:p>
        </w:tc>
        <w:tc>
          <w:tcPr>
            <w:tcW w:type="dxa" w:w="3456"/>
          </w:tcPr>
          <w:p>
            <w:r/>
            <w:r>
              <w:rPr>
                <w:sz w:val="16"/>
              </w:rPr>
              <w:t>capture/transmit only; no TFLite model</w:t>
            </w:r>
          </w:p>
        </w:tc>
      </w:tr>
      <w:tr>
        <w:tc>
          <w:tcPr>
            <w:tcW w:type="dxa" w:w="3600"/>
          </w:tcPr>
          <w:p>
            <w:r/>
            <w:r>
              <w:rPr>
                <w:sz w:val="16"/>
              </w:rPr>
              <w:t>Cross-modal consensus</w:t>
            </w:r>
          </w:p>
        </w:tc>
        <w:tc>
          <w:tcPr>
            <w:tcW w:type="dxa" w:w="1872"/>
          </w:tcPr>
          <w:p>
            <w:r/>
            <w:r>
              <w:rPr>
                <w:sz w:val="16"/>
              </w:rPr>
              <w:t>Partial (2-of-3)</w:t>
            </w:r>
          </w:p>
        </w:tc>
        <w:tc>
          <w:tcPr>
            <w:tcW w:type="dxa" w:w="3456"/>
          </w:tcPr>
          <w:p>
            <w:r/>
            <w:r>
              <w:rPr>
                <w:sz w:val="16"/>
              </w:rPr>
              <w:t>satellite CNN is an untrained stub</w:t>
            </w:r>
          </w:p>
        </w:tc>
      </w:tr>
      <w:tr>
        <w:tc>
          <w:tcPr>
            <w:tcW w:type="dxa" w:w="3600"/>
          </w:tcPr>
          <w:p>
            <w:r/>
            <w:r>
              <w:rPr>
                <w:sz w:val="16"/>
              </w:rPr>
              <w:t>Tri-RAG + Gemma-3-4B advisory</w:t>
            </w:r>
          </w:p>
        </w:tc>
        <w:tc>
          <w:tcPr>
            <w:tcW w:type="dxa" w:w="1872"/>
          </w:tcPr>
          <w:p>
            <w:r/>
            <w:r>
              <w:rPr>
                <w:sz w:val="16"/>
              </w:rPr>
              <w:t>Operational</w:t>
            </w:r>
          </w:p>
        </w:tc>
        <w:tc>
          <w:tcPr>
            <w:tcW w:type="dxa" w:w="3456"/>
          </w:tcPr>
          <w:p>
            <w:r/>
            <w:r>
              <w:rPr>
                <w:sz w:val="16"/>
              </w:rPr>
              <w:t>merge-boost, not cross-encoder; fixed soil profile</w:t>
            </w:r>
          </w:p>
        </w:tc>
      </w:tr>
      <w:tr>
        <w:tc>
          <w:tcPr>
            <w:tcW w:type="dxa" w:w="3600"/>
          </w:tcPr>
          <w:p>
            <w:r/>
            <w:r>
              <w:rPr>
                <w:sz w:val="16"/>
              </w:rPr>
              <w:t>MQTT orchestration + approval</w:t>
            </w:r>
          </w:p>
        </w:tc>
        <w:tc>
          <w:tcPr>
            <w:tcW w:type="dxa" w:w="1872"/>
          </w:tcPr>
          <w:p>
            <w:r/>
            <w:r>
              <w:rPr>
                <w:sz w:val="16"/>
              </w:rPr>
              <w:t>Operational</w:t>
            </w:r>
          </w:p>
        </w:tc>
        <w:tc>
          <w:tcPr>
            <w:tcW w:type="dxa" w:w="3456"/>
          </w:tcPr>
          <w:p>
            <w:r/>
            <w:r>
              <w:rPr>
                <w:sz w:val="16"/>
              </w:rPr>
              <w:t>human-in-the-loop</w:t>
            </w:r>
          </w:p>
        </w:tc>
      </w:tr>
      <w:tr>
        <w:tc>
          <w:tcPr>
            <w:tcW w:type="dxa" w:w="3600"/>
          </w:tcPr>
          <w:p>
            <w:r/>
            <w:r>
              <w:rPr>
                <w:sz w:val="16"/>
              </w:rPr>
              <w:t>SQLite store + Streamlit dashboard</w:t>
            </w:r>
          </w:p>
        </w:tc>
        <w:tc>
          <w:tcPr>
            <w:tcW w:type="dxa" w:w="1872"/>
          </w:tcPr>
          <w:p>
            <w:r/>
            <w:r>
              <w:rPr>
                <w:sz w:val="16"/>
              </w:rPr>
              <w:t>Operational</w:t>
            </w:r>
          </w:p>
        </w:tc>
        <w:tc>
          <w:tcPr>
            <w:tcW w:type="dxa" w:w="3456"/>
          </w:tcPr>
          <w:p>
            <w:r/>
            <w:r>
              <w:rPr>
                <w:sz w:val="16"/>
              </w:rPr>
              <w:t>offline-first; placeholder demo coords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