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Strategie Avanzate di Machine Learning per l’Attribuzione del Ransomware</w:t>
      </w:r>
    </w:p>
    <w:p>
      <w:pPr>
        <w:jc w:val="center"/>
      </w:pPr>
      <w:r>
        <w:t>Pietro Melillo | Ph.D. Student | 12/12/2025</w:t>
      </w:r>
    </w:p>
    <w:p>
      <w:pPr>
        <w:pStyle w:val="Heading1"/>
        <w:jc w:val="left"/>
      </w:pPr>
      <w:r>
        <w:t>Abstract</w:t>
      </w:r>
    </w:p>
    <w:p>
      <w:r>
        <w:t>L'attribuzione degli attacchi ransomware ai gruppi criminali responsabili è una componente critica della Cyber Threat Intelligence (CTI). Questo studio presenta un framework empirico per la classificazione supervisionata multiclasse di 153 gang ransomware, basato sulle Tattiche, Tecniche e Procedure (TTP) del framework MITRE ATT&amp;CK.</w:t>
      </w:r>
    </w:p>
    <w:p>
      <w:r>
        <w:t>I risultati dimostrano che l'algoritmo XGBoost raggiunge un F1-Score Macro di 0.99, confermando l'elevato potere discriminante delle TTP. Inoltre, Random Forest emerge come soluzione ottimale per l'efficienza operativa.</w:t>
      </w:r>
    </w:p>
    <w:p>
      <w:pPr>
        <w:pStyle w:val="Heading1"/>
        <w:jc w:val="left"/>
      </w:pPr>
      <w:r>
        <w:t>1. Risultati Sperimentali</w:t>
      </w:r>
    </w:p>
    <w:p>
      <w:r>
        <w:t>La tabella seguente riassume le performance finali ottenute sul Test Set dopo l'ottimizzazione.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Modello</w:t>
            </w:r>
          </w:p>
        </w:tc>
        <w:tc>
          <w:tcPr>
            <w:tcW w:type="dxa" w:w="2160"/>
          </w:tcPr>
          <w:p>
            <w:r>
              <w:t>F1-Macro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Tempo (s)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0.9882</w:t>
            </w:r>
          </w:p>
        </w:tc>
        <w:tc>
          <w:tcPr>
            <w:tcW w:type="dxa" w:w="2160"/>
          </w:tcPr>
          <w:p>
            <w:r>
              <w:t>0.9956</w:t>
            </w:r>
          </w:p>
        </w:tc>
        <w:tc>
          <w:tcPr>
            <w:tcW w:type="dxa" w:w="2160"/>
          </w:tcPr>
          <w:p>
            <w:r>
              <w:t>125.8</w:t>
            </w:r>
          </w:p>
        </w:tc>
      </w:tr>
      <w:tr>
        <w:tc>
          <w:tcPr>
            <w:tcW w:type="dxa" w:w="2160"/>
          </w:tcPr>
          <w:p>
            <w:r>
              <w:t>SVC</w:t>
            </w:r>
          </w:p>
        </w:tc>
        <w:tc>
          <w:tcPr>
            <w:tcW w:type="dxa" w:w="2160"/>
          </w:tcPr>
          <w:p>
            <w:r>
              <w:t>0.9700</w:t>
            </w:r>
          </w:p>
        </w:tc>
        <w:tc>
          <w:tcPr>
            <w:tcW w:type="dxa" w:w="2160"/>
          </w:tcPr>
          <w:p>
            <w:r>
              <w:t>0.9903</w:t>
            </w:r>
          </w:p>
        </w:tc>
        <w:tc>
          <w:tcPr>
            <w:tcW w:type="dxa" w:w="2160"/>
          </w:tcPr>
          <w:p>
            <w:r>
              <w:t>21.5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0.9680</w:t>
            </w:r>
          </w:p>
        </w:tc>
        <w:tc>
          <w:tcPr>
            <w:tcW w:type="dxa" w:w="2160"/>
          </w:tcPr>
          <w:p>
            <w:r>
              <w:t>0.9937</w:t>
            </w:r>
          </w:p>
        </w:tc>
        <w:tc>
          <w:tcPr>
            <w:tcW w:type="dxa" w:w="2160"/>
          </w:tcPr>
          <w:p>
            <w:r>
              <w:t>3.4</w:t>
            </w:r>
          </w:p>
        </w:tc>
      </w:tr>
      <w:tr>
        <w:tc>
          <w:tcPr>
            <w:tcW w:type="dxa" w:w="2160"/>
          </w:tcPr>
          <w:p>
            <w:r>
              <w:t>KNN</w:t>
            </w:r>
          </w:p>
        </w:tc>
        <w:tc>
          <w:tcPr>
            <w:tcW w:type="dxa" w:w="2160"/>
          </w:tcPr>
          <w:p>
            <w:r>
              <w:t>0.8319</w:t>
            </w:r>
          </w:p>
        </w:tc>
        <w:tc>
          <w:tcPr>
            <w:tcW w:type="dxa" w:w="2160"/>
          </w:tcPr>
          <w:p>
            <w:r>
              <w:t>0.9313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0.3688</w:t>
            </w:r>
          </w:p>
        </w:tc>
        <w:tc>
          <w:tcPr>
            <w:tcW w:type="dxa" w:w="2160"/>
          </w:tcPr>
          <w:p>
            <w:r>
              <w:t>0.6020</w:t>
            </w:r>
          </w:p>
        </w:tc>
        <w:tc>
          <w:tcPr>
            <w:tcW w:type="dxa" w:w="2160"/>
          </w:tcPr>
          <w:p>
            <w:r>
              <w:t>19.8</w:t>
            </w:r>
          </w:p>
        </w:tc>
      </w:tr>
      <w:tr>
        <w:tc>
          <w:tcPr>
            <w:tcW w:type="dxa" w:w="2160"/>
          </w:tcPr>
          <w:p>
            <w:r>
              <w:t>Keras FFNN</w:t>
            </w:r>
          </w:p>
        </w:tc>
        <w:tc>
          <w:tcPr>
            <w:tcW w:type="dxa" w:w="2160"/>
          </w:tcPr>
          <w:p>
            <w:r>
              <w:t>0.0008</w:t>
            </w:r>
          </w:p>
        </w:tc>
        <w:tc>
          <w:tcPr>
            <w:tcW w:type="dxa" w:w="2160"/>
          </w:tcPr>
          <w:p>
            <w:r>
              <w:t>0.0336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pPr>
        <w:pStyle w:val="Heading1"/>
        <w:jc w:val="left"/>
      </w:pPr>
      <w:r>
        <w:t>2. Analisi Visuale</w:t>
      </w:r>
    </w:p>
    <w:p>
      <w:r>
        <w:t>Le prestazioni sono state validate attraverso curve ROC/PR e matrici di confusione.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ROC_PR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1: Curve ROC e Precision-Recall. L'AUC ≈ 1.0 indica un ranking perfetto.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Confusion_Matrix_XGBo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2: Matrice di Confusione (XGBoost). La diagonale netta conferma l'alta precisione.</w:t>
      </w:r>
    </w:p>
    <w:p>
      <w:pPr>
        <w:pStyle w:val="Heading1"/>
        <w:jc w:val="left"/>
      </w:pPr>
      <w:r>
        <w:t>3. Interpretabilità e CTI</w:t>
      </w:r>
    </w:p>
    <w:p>
      <w:r>
        <w:t>L'analisi delle feature conferma che il modello apprende le TTP tecniche e non bias contestuali.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3: Le TTP più discriminanti (es. T1486) agiscono come firma digitale.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4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4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4: Analisi SHAP. Impatto positivo (rosso) e negativo (blu) delle tecniche.</w:t>
      </w:r>
    </w:p>
    <w:p>
      <w:pPr>
        <w:pStyle w:val="Heading1"/>
        <w:jc w:val="left"/>
      </w:pPr>
      <w:r>
        <w:t>4. Trade-off Operativo</w:t>
      </w:r>
    </w:p>
    <w:p>
      <w:r>
        <w:t>Per l'implementazione in produzione, è necessario bilanciare accuratezza e velocità di aggiornamento.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erformance_Trade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5: XGBoost vs Random Forest. RF offre un risparmio di tempo del 98% con perdita minima di accuratezza.</w:t>
      </w:r>
    </w:p>
    <w:p>
      <w:pPr>
        <w:pStyle w:val="Heading1"/>
        <w:jc w:val="left"/>
      </w:pPr>
      <w:r>
        <w:t>5. Conclusioni</w:t>
      </w:r>
    </w:p>
    <w:p>
      <w:r>
        <w:t>Il progetto conferma che l'attribuzione automatizzata tramite TTP è fattibile e accurata. Si raccomanda Random Forest per il monitoraggio continuo e XGBoost per l'analisi forense.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