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r>
    </w:p>
    <w:tbl>
      <w:tblPr>
        <w:tblStyle w:val="Table1"/>
        <w:tblW w:w="229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460"/>
        <w:gridCol w:w="3405"/>
        <w:gridCol w:w="2820"/>
        <w:gridCol w:w="2835"/>
        <w:gridCol w:w="9195"/>
        <w:tblGridChange w:id="0">
          <w:tblGrid>
            <w:gridCol w:w="2220"/>
            <w:gridCol w:w="2460"/>
            <w:gridCol w:w="3405"/>
            <w:gridCol w:w="2820"/>
            <w:gridCol w:w="2835"/>
            <w:gridCol w:w="9195"/>
          </w:tblGrid>
        </w:tblGridChange>
      </w:tblGrid>
      <w:tr>
        <w:trPr>
          <w:trHeight w:val="600" w:hRule="atLeast"/>
        </w:trPr>
        <w:tc>
          <w:tcPr>
            <w:shd w:fill="0000ff"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3f3f3"/>
                <w:sz w:val="36"/>
                <w:szCs w:val="36"/>
              </w:rPr>
            </w:pPr>
            <w:r w:rsidDel="00000000" w:rsidR="00000000" w:rsidRPr="00000000">
              <w:rPr>
                <w:color w:val="f3f3f3"/>
                <w:sz w:val="36"/>
                <w:szCs w:val="36"/>
                <w:rtl w:val="0"/>
              </w:rPr>
              <w:t xml:space="preserve">Stakeholder</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3f3f3"/>
                <w:sz w:val="36"/>
                <w:szCs w:val="36"/>
              </w:rPr>
            </w:pPr>
            <w:r w:rsidDel="00000000" w:rsidR="00000000" w:rsidRPr="00000000">
              <w:rPr>
                <w:color w:val="f3f3f3"/>
                <w:sz w:val="36"/>
                <w:szCs w:val="36"/>
                <w:rtl w:val="0"/>
              </w:rPr>
              <w:t xml:space="preserve">Need</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3f3f3"/>
                <w:sz w:val="36"/>
                <w:szCs w:val="36"/>
              </w:rPr>
            </w:pPr>
            <w:r w:rsidDel="00000000" w:rsidR="00000000" w:rsidRPr="00000000">
              <w:rPr>
                <w:color w:val="f3f3f3"/>
                <w:sz w:val="36"/>
                <w:szCs w:val="36"/>
                <w:rtl w:val="0"/>
              </w:rPr>
              <w:t xml:space="preserve">Requirement</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3f3f3"/>
                <w:sz w:val="36"/>
                <w:szCs w:val="36"/>
              </w:rPr>
            </w:pPr>
            <w:r w:rsidDel="00000000" w:rsidR="00000000" w:rsidRPr="00000000">
              <w:rPr>
                <w:color w:val="f3f3f3"/>
                <w:sz w:val="36"/>
                <w:szCs w:val="36"/>
                <w:rtl w:val="0"/>
              </w:rPr>
              <w:t xml:space="preserve">Metric</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3f3f3"/>
                <w:sz w:val="36"/>
                <w:szCs w:val="36"/>
              </w:rPr>
            </w:pPr>
            <w:r w:rsidDel="00000000" w:rsidR="00000000" w:rsidRPr="00000000">
              <w:rPr>
                <w:color w:val="f3f3f3"/>
                <w:sz w:val="36"/>
                <w:szCs w:val="36"/>
                <w:rtl w:val="0"/>
              </w:rPr>
              <w:t xml:space="preserve">Target Range</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3f3f3"/>
                <w:sz w:val="36"/>
                <w:szCs w:val="36"/>
              </w:rPr>
            </w:pPr>
            <w:r w:rsidDel="00000000" w:rsidR="00000000" w:rsidRPr="00000000">
              <w:rPr>
                <w:color w:val="f3f3f3"/>
                <w:sz w:val="36"/>
                <w:szCs w:val="36"/>
                <w:rtl w:val="0"/>
              </w:rPr>
              <w:t xml:space="preserve">Rationale</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8"/>
                <w:szCs w:val="28"/>
              </w:rPr>
            </w:pPr>
            <w:r w:rsidDel="00000000" w:rsidR="00000000" w:rsidRPr="00000000">
              <w:rPr>
                <w:sz w:val="28"/>
                <w:szCs w:val="28"/>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Benefits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Within...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Evaluated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Within...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Because...</w:t>
            </w:r>
          </w:p>
        </w:tc>
      </w:tr>
      <w:tr>
        <w:trPr>
          <w:trHeight w:val="286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sz w:val="36"/>
                <w:szCs w:val="36"/>
              </w:rPr>
            </w:pPr>
            <w:r w:rsidDel="00000000" w:rsidR="00000000" w:rsidRPr="00000000">
              <w:rPr>
                <w:sz w:val="36"/>
                <w:szCs w:val="36"/>
                <w:rtl w:val="0"/>
              </w:rPr>
              <w:t xml:space="preserve">Advocating Ally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Less stigma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Normalize sexual health conversations outside the classroom</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36"/>
                <w:szCs w:val="36"/>
              </w:rPr>
            </w:pPr>
            <w:r w:rsidDel="00000000" w:rsidR="00000000" w:rsidRPr="00000000">
              <w:rPr>
                <w:sz w:val="36"/>
                <w:szCs w:val="36"/>
                <w:rtl w:val="0"/>
              </w:rPr>
              <w:t xml:space="preserve">Sexual health news discussed in the media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100% increase in mention counts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They’ll be able to switch from trying to change society to improving the better system.</w:t>
            </w:r>
          </w:p>
        </w:tc>
      </w:tr>
      <w:tr>
        <w:trPr>
          <w:trHeight w:val="2860" w:hRule="atLeast"/>
        </w:trPr>
        <w:tc>
          <w:tcPr>
            <w:shd w:fill="ead1dc"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sz w:val="36"/>
                <w:szCs w:val="36"/>
              </w:rPr>
            </w:pPr>
            <w:r w:rsidDel="00000000" w:rsidR="00000000" w:rsidRPr="00000000">
              <w:rPr>
                <w:sz w:val="36"/>
                <w:szCs w:val="36"/>
                <w:rtl w:val="0"/>
              </w:rPr>
              <w:t xml:space="preserve">Guiding Grace</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36"/>
                <w:szCs w:val="36"/>
              </w:rPr>
            </w:pPr>
            <w:r w:rsidDel="00000000" w:rsidR="00000000" w:rsidRPr="00000000">
              <w:rPr>
                <w:sz w:val="36"/>
                <w:szCs w:val="36"/>
                <w:rtl w:val="0"/>
              </w:rPr>
              <w:t xml:space="preserve">Awareness and utilization of resources</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36"/>
                <w:szCs w:val="36"/>
              </w:rPr>
            </w:pPr>
            <w:r w:rsidDel="00000000" w:rsidR="00000000" w:rsidRPr="00000000">
              <w:rPr>
                <w:sz w:val="36"/>
                <w:szCs w:val="36"/>
                <w:rtl w:val="0"/>
              </w:rPr>
              <w:t xml:space="preserve">Platform and space for teaching</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36"/>
                <w:szCs w:val="36"/>
              </w:rPr>
            </w:pPr>
            <w:r w:rsidDel="00000000" w:rsidR="00000000" w:rsidRPr="00000000">
              <w:rPr>
                <w:sz w:val="36"/>
                <w:szCs w:val="36"/>
                <w:rtl w:val="0"/>
              </w:rPr>
              <w:t xml:space="preserve">Average travel time to sexual health educator</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36"/>
                <w:szCs w:val="36"/>
              </w:rPr>
            </w:pPr>
            <w:r w:rsidDel="00000000" w:rsidR="00000000" w:rsidRPr="00000000">
              <w:rPr>
                <w:sz w:val="36"/>
                <w:szCs w:val="36"/>
                <w:rtl w:val="0"/>
              </w:rPr>
              <w:t xml:space="preserve">&lt;15 minutes</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36"/>
                <w:szCs w:val="36"/>
              </w:rPr>
            </w:pPr>
            <w:r w:rsidDel="00000000" w:rsidR="00000000" w:rsidRPr="00000000">
              <w:rPr>
                <w:sz w:val="36"/>
                <w:szCs w:val="36"/>
                <w:rtl w:val="0"/>
              </w:rPr>
              <w:t xml:space="preserve">The number of people who visit the center and get to talk about sexual health would increase if wellness center was easier to get to. There will be fewer disasters for Grace to fix.</w:t>
            </w:r>
          </w:p>
        </w:tc>
      </w:tr>
      <w:tr>
        <w:trPr>
          <w:trHeight w:val="2860" w:hRule="atLeast"/>
        </w:trPr>
        <w:tc>
          <w:tcPr>
            <w:shd w:fill="fce5cd"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Engaging Emily</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Student engagement</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36"/>
                <w:szCs w:val="36"/>
              </w:rPr>
            </w:pPr>
            <w:r w:rsidDel="00000000" w:rsidR="00000000" w:rsidRPr="00000000">
              <w:rPr>
                <w:sz w:val="36"/>
                <w:szCs w:val="36"/>
                <w:rtl w:val="0"/>
              </w:rPr>
              <w:t xml:space="preserve">Individual time with students, creating a personal bond</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36"/>
                <w:szCs w:val="36"/>
              </w:rPr>
            </w:pPr>
            <w:r w:rsidDel="00000000" w:rsidR="00000000" w:rsidRPr="00000000">
              <w:rPr>
                <w:sz w:val="36"/>
                <w:szCs w:val="36"/>
                <w:rtl w:val="0"/>
              </w:rPr>
              <w:t xml:space="preserve">More “Aha Moments”, and questions for teachers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All students ask questions during class and use what they learned</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36"/>
                <w:szCs w:val="36"/>
              </w:rPr>
            </w:pPr>
            <w:r w:rsidDel="00000000" w:rsidR="00000000" w:rsidRPr="00000000">
              <w:rPr>
                <w:sz w:val="36"/>
                <w:szCs w:val="36"/>
                <w:rtl w:val="0"/>
              </w:rPr>
              <w:t xml:space="preserve">Students are understanding and retaining the information because they’re engaged and educators have less burnout with enthusiastic students.</w:t>
            </w:r>
          </w:p>
        </w:tc>
      </w:tr>
      <w:tr>
        <w:trPr>
          <w:trHeight w:val="286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36"/>
                <w:szCs w:val="36"/>
              </w:rPr>
            </w:pPr>
            <w:r w:rsidDel="00000000" w:rsidR="00000000" w:rsidRPr="00000000">
              <w:rPr>
                <w:sz w:val="36"/>
                <w:szCs w:val="36"/>
                <w:rtl w:val="0"/>
              </w:rPr>
              <w:t xml:space="preserve">Students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36"/>
                <w:szCs w:val="36"/>
              </w:rPr>
            </w:pPr>
            <w:r w:rsidDel="00000000" w:rsidR="00000000" w:rsidRPr="00000000">
              <w:rPr>
                <w:sz w:val="36"/>
                <w:szCs w:val="36"/>
                <w:rtl w:val="0"/>
              </w:rPr>
              <w:t xml:space="preserve">Equal access for all students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36"/>
                <w:szCs w:val="36"/>
              </w:rPr>
            </w:pPr>
            <w:r w:rsidDel="00000000" w:rsidR="00000000" w:rsidRPr="00000000">
              <w:rPr>
                <w:sz w:val="36"/>
                <w:szCs w:val="36"/>
                <w:rtl w:val="0"/>
              </w:rPr>
              <w:t xml:space="preserve">Funding and curriculum provided by government, not locally funded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36"/>
                <w:szCs w:val="36"/>
              </w:rPr>
            </w:pPr>
            <w:r w:rsidDel="00000000" w:rsidR="00000000" w:rsidRPr="00000000">
              <w:rPr>
                <w:sz w:val="36"/>
                <w:szCs w:val="36"/>
                <w:rtl w:val="0"/>
              </w:rPr>
              <w:t xml:space="preserve">Demographics of people who get a license.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36"/>
                <w:szCs w:val="36"/>
              </w:rPr>
            </w:pPr>
            <w:r w:rsidDel="00000000" w:rsidR="00000000" w:rsidRPr="00000000">
              <w:rPr>
                <w:sz w:val="36"/>
                <w:szCs w:val="36"/>
                <w:rtl w:val="0"/>
              </w:rPr>
              <w:t xml:space="preserve">Demographics match the population in sex, race, ability, class, etc.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left"/>
              <w:rPr>
                <w:sz w:val="36"/>
                <w:szCs w:val="36"/>
              </w:rPr>
            </w:pPr>
            <w:r w:rsidDel="00000000" w:rsidR="00000000" w:rsidRPr="00000000">
              <w:rPr>
                <w:sz w:val="36"/>
                <w:szCs w:val="36"/>
                <w:rtl w:val="0"/>
              </w:rPr>
              <w:t xml:space="preserve">We want to make sure that we are not creating a law that further harms marginalized communities.</w:t>
            </w:r>
          </w:p>
        </w:tc>
      </w:tr>
    </w:tbl>
    <w:p w:rsidR="00000000" w:rsidDel="00000000" w:rsidP="00000000" w:rsidRDefault="00000000" w:rsidRPr="00000000" w14:paraId="00000026">
      <w:pPr>
        <w:rPr>
          <w:sz w:val="36"/>
          <w:szCs w:val="36"/>
        </w:rPr>
      </w:pPr>
      <w:r w:rsidDel="00000000" w:rsidR="00000000" w:rsidRPr="00000000">
        <w:rPr>
          <w:rtl w:val="0"/>
        </w:rPr>
      </w:r>
    </w:p>
    <w:sectPr>
      <w:pgSz w:h="15840" w:w="2448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