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015FB" w14:textId="31C3C060" w:rsidR="00AC5A30" w:rsidRPr="007324BF" w:rsidRDefault="007324BF">
      <w:pPr>
        <w:rPr>
          <w:rFonts w:ascii="Arial" w:hAnsi="Arial" w:cs="Arial"/>
        </w:rPr>
      </w:pPr>
      <w:r w:rsidRPr="007324BF">
        <w:rPr>
          <w:rFonts w:ascii="Arial" w:hAnsi="Arial" w:cs="Arial"/>
        </w:rPr>
        <w:t>Moreno, Melissa</w:t>
      </w:r>
    </w:p>
    <w:p w14:paraId="3DB7E496" w14:textId="43D659F6" w:rsidR="007324BF" w:rsidRPr="007324BF" w:rsidRDefault="007324BF">
      <w:pPr>
        <w:rPr>
          <w:rFonts w:ascii="Arial" w:hAnsi="Arial" w:cs="Arial"/>
        </w:rPr>
      </w:pPr>
      <w:r w:rsidRPr="007324BF">
        <w:rPr>
          <w:rFonts w:ascii="Arial" w:hAnsi="Arial" w:cs="Arial"/>
        </w:rPr>
        <w:t>July 21, 2019</w:t>
      </w:r>
    </w:p>
    <w:p w14:paraId="1145FFEC" w14:textId="758796B7" w:rsidR="007324BF" w:rsidRPr="007324BF" w:rsidRDefault="007324BF">
      <w:pPr>
        <w:rPr>
          <w:rFonts w:ascii="Arial" w:hAnsi="Arial" w:cs="Arial"/>
        </w:rPr>
      </w:pPr>
      <w:r w:rsidRPr="007324BF">
        <w:rPr>
          <w:rFonts w:ascii="Arial" w:hAnsi="Arial" w:cs="Arial"/>
        </w:rPr>
        <w:t>FNR6061</w:t>
      </w:r>
    </w:p>
    <w:p w14:paraId="6DADDDB8" w14:textId="406BF877" w:rsidR="007324BF" w:rsidRDefault="007324BF">
      <w:pPr>
        <w:rPr>
          <w:rFonts w:ascii="Arial" w:hAnsi="Arial" w:cs="Arial"/>
        </w:rPr>
      </w:pPr>
      <w:r w:rsidRPr="007324BF">
        <w:rPr>
          <w:rFonts w:ascii="Arial" w:hAnsi="Arial" w:cs="Arial"/>
        </w:rPr>
        <w:t>Mapping Areas of Agreement and Disagreement</w:t>
      </w:r>
    </w:p>
    <w:p w14:paraId="0927D250" w14:textId="57BBFBD0" w:rsidR="00663F86" w:rsidRDefault="00663F86">
      <w:pPr>
        <w:rPr>
          <w:rFonts w:ascii="Arial" w:hAnsi="Arial" w:cs="Arial"/>
        </w:rPr>
      </w:pPr>
    </w:p>
    <w:p w14:paraId="2891183F" w14:textId="566B03D6" w:rsidR="0012568D" w:rsidRDefault="002B4EE0">
      <w:pPr>
        <w:rPr>
          <w:rFonts w:ascii="Arial" w:hAnsi="Arial" w:cs="Arial"/>
        </w:rPr>
      </w:pPr>
      <w:r>
        <w:rPr>
          <w:rFonts w:ascii="Arial" w:hAnsi="Arial" w:cs="Arial"/>
        </w:rPr>
        <w:t>Across this conflict, there are stakeholder groups that that have incompatible and compatible interests. Table 1 displays that there is overlap between stakeholder groups but that some groups have higher priorities than other groups. An example of the differences in priorities is how the State of Florida and the City of Gainesville are going to do what is best for them business wise, even if it means upsetting</w:t>
      </w:r>
      <w:r w:rsidR="0012568D">
        <w:rPr>
          <w:rFonts w:ascii="Arial" w:hAnsi="Arial" w:cs="Arial"/>
        </w:rPr>
        <w:t xml:space="preserve"> other</w:t>
      </w:r>
      <w:r>
        <w:rPr>
          <w:rFonts w:ascii="Arial" w:hAnsi="Arial" w:cs="Arial"/>
        </w:rPr>
        <w:t xml:space="preserve"> groups. Residents of Gainesville, for the straw ban, might not be as heavily invested into money or business dealings because they more interested in the environmental benefits from enacting a straw ban. Residents of Gainesville that are against the straw ban</w:t>
      </w:r>
      <w:r w:rsidR="00112224">
        <w:rPr>
          <w:rFonts w:ascii="Arial" w:hAnsi="Arial" w:cs="Arial"/>
        </w:rPr>
        <w:t xml:space="preserve"> might also be have interest in business because residents that own restaurants will have to invest more money on paper straws. Of course, these restaurant owners could decide to just not to provide any straws, thus saving them money. Either way, restaurant owner</w:t>
      </w:r>
      <w:r w:rsidR="00F659C5">
        <w:rPr>
          <w:rFonts w:ascii="Arial" w:hAnsi="Arial" w:cs="Arial"/>
        </w:rPr>
        <w:t>s</w:t>
      </w:r>
      <w:r w:rsidR="00112224">
        <w:rPr>
          <w:rFonts w:ascii="Arial" w:hAnsi="Arial" w:cs="Arial"/>
        </w:rPr>
        <w:t xml:space="preserve"> are interested into the business aspect of the straw </w:t>
      </w:r>
      <w:r w:rsidR="009B16D5">
        <w:rPr>
          <w:rFonts w:ascii="Arial" w:hAnsi="Arial" w:cs="Arial"/>
        </w:rPr>
        <w:t>ban and</w:t>
      </w:r>
      <w:r w:rsidR="0012568D">
        <w:rPr>
          <w:rFonts w:ascii="Arial" w:hAnsi="Arial" w:cs="Arial"/>
        </w:rPr>
        <w:t xml:space="preserve"> take that into a high priority</w:t>
      </w:r>
      <w:r w:rsidR="00112224">
        <w:rPr>
          <w:rFonts w:ascii="Arial" w:hAnsi="Arial" w:cs="Arial"/>
        </w:rPr>
        <w:t xml:space="preserve">. </w:t>
      </w:r>
    </w:p>
    <w:p w14:paraId="61B82F9B" w14:textId="567DD196" w:rsidR="00663F86" w:rsidRDefault="00F659C5">
      <w:pPr>
        <w:rPr>
          <w:rFonts w:ascii="Arial" w:hAnsi="Arial" w:cs="Arial"/>
        </w:rPr>
      </w:pPr>
      <w:r>
        <w:rPr>
          <w:rFonts w:ascii="Arial" w:hAnsi="Arial" w:cs="Arial"/>
        </w:rPr>
        <w:t xml:space="preserve">Residents of Gainesville, for the straw ban, mostly prioritize the environment and </w:t>
      </w:r>
      <w:r w:rsidR="00E00F39">
        <w:rPr>
          <w:rFonts w:ascii="Arial" w:hAnsi="Arial" w:cs="Arial"/>
        </w:rPr>
        <w:t xml:space="preserve">protecting the environment. Even if the residents of Gainesville for the straw ban regard the environment as a high priority, the City of Gainesville and the State of Florida might not </w:t>
      </w:r>
      <w:r w:rsidR="009B16D5">
        <w:rPr>
          <w:rFonts w:ascii="Arial" w:hAnsi="Arial" w:cs="Arial"/>
        </w:rPr>
        <w:t>consider</w:t>
      </w:r>
      <w:r w:rsidR="00E00F39">
        <w:rPr>
          <w:rFonts w:ascii="Arial" w:hAnsi="Arial" w:cs="Arial"/>
        </w:rPr>
        <w:t xml:space="preserve"> the environment as the highest priori</w:t>
      </w:r>
      <w:r w:rsidR="009B16D5">
        <w:rPr>
          <w:rFonts w:ascii="Arial" w:hAnsi="Arial" w:cs="Arial"/>
        </w:rPr>
        <w:t>ty.</w:t>
      </w:r>
    </w:p>
    <w:p w14:paraId="1A6BF32B" w14:textId="32A73F29" w:rsidR="00D33D5A" w:rsidRDefault="00D33D5A">
      <w:pPr>
        <w:rPr>
          <w:rFonts w:ascii="Arial" w:hAnsi="Arial" w:cs="Arial"/>
        </w:rPr>
      </w:pPr>
      <w:r>
        <w:rPr>
          <w:rFonts w:ascii="Arial" w:hAnsi="Arial" w:cs="Arial"/>
        </w:rPr>
        <w:t xml:space="preserve">For individual rights, it seems as though the State of Florida is trying to give people more rights, and the residents of Gainesville ae also concerned about their rights. It seems as though the City of Gainesville doesn’t seem too interested in the individual rights of people, or at least that is the perception. </w:t>
      </w:r>
    </w:p>
    <w:p w14:paraId="4C75B09B" w14:textId="627F129D" w:rsidR="00D33D5A" w:rsidRDefault="00D33D5A">
      <w:pPr>
        <w:rPr>
          <w:rFonts w:ascii="Arial" w:hAnsi="Arial" w:cs="Arial"/>
        </w:rPr>
      </w:pPr>
      <w:r>
        <w:rPr>
          <w:rFonts w:ascii="Arial" w:hAnsi="Arial" w:cs="Arial"/>
        </w:rPr>
        <w:t xml:space="preserve">Both categories of residents are not really interested in tourism, since it doesn’t </w:t>
      </w:r>
      <w:r w:rsidR="00B134C1">
        <w:rPr>
          <w:rFonts w:ascii="Arial" w:hAnsi="Arial" w:cs="Arial"/>
        </w:rPr>
        <w:t xml:space="preserve">impact them directly. Even though tourism can lead to more traffic, but the State of Florida and City of Gainesville are more interested in tourism because of the revenue it provides. </w:t>
      </w:r>
    </w:p>
    <w:p w14:paraId="77D7065A" w14:textId="65E9299C" w:rsidR="0079126D" w:rsidRDefault="0079126D">
      <w:pPr>
        <w:rPr>
          <w:rFonts w:ascii="Arial" w:hAnsi="Arial" w:cs="Arial"/>
        </w:rPr>
      </w:pPr>
      <w:r>
        <w:rPr>
          <w:rFonts w:ascii="Arial" w:hAnsi="Arial" w:cs="Arial"/>
        </w:rPr>
        <w:t xml:space="preserve">Some of the mutual gains include Business and Tourism revenue for the State of Florida and City of Gainesville. Some of the other mutual gains involve the two categories of the residents of Gainesville that are interested and have a high priority for the environment. </w:t>
      </w:r>
      <w:bookmarkStart w:id="0" w:name="_GoBack"/>
      <w:bookmarkEnd w:id="0"/>
    </w:p>
    <w:p w14:paraId="6E9E72AA" w14:textId="4FA1CDA2" w:rsidR="00DF6C3E" w:rsidRDefault="00DF6C3E">
      <w:pPr>
        <w:rPr>
          <w:rFonts w:ascii="Arial" w:hAnsi="Arial" w:cs="Arial"/>
        </w:rPr>
      </w:pPr>
    </w:p>
    <w:p w14:paraId="0D5A8CA8" w14:textId="65D2C379" w:rsidR="00DF6C3E" w:rsidRDefault="00DF6C3E">
      <w:pPr>
        <w:rPr>
          <w:rFonts w:ascii="Arial" w:hAnsi="Arial" w:cs="Arial"/>
        </w:rPr>
      </w:pPr>
    </w:p>
    <w:p w14:paraId="61A1ECDF" w14:textId="1C0900C7" w:rsidR="00DF6C3E" w:rsidRDefault="00DF6C3E">
      <w:pPr>
        <w:rPr>
          <w:rFonts w:ascii="Arial" w:hAnsi="Arial" w:cs="Arial"/>
        </w:rPr>
      </w:pPr>
    </w:p>
    <w:p w14:paraId="206F9D00" w14:textId="74E6C025" w:rsidR="00DF6C3E" w:rsidRDefault="00DF6C3E">
      <w:pPr>
        <w:rPr>
          <w:rFonts w:ascii="Arial" w:hAnsi="Arial" w:cs="Arial"/>
        </w:rPr>
      </w:pPr>
    </w:p>
    <w:p w14:paraId="53663FA8" w14:textId="14A4DF62" w:rsidR="00DF6C3E" w:rsidRDefault="00DF6C3E">
      <w:pPr>
        <w:rPr>
          <w:rFonts w:ascii="Arial" w:hAnsi="Arial" w:cs="Arial"/>
        </w:rPr>
      </w:pPr>
    </w:p>
    <w:p w14:paraId="141A73CB" w14:textId="77777777" w:rsidR="00DF6C3E" w:rsidRDefault="00DF6C3E">
      <w:pPr>
        <w:rPr>
          <w:rFonts w:ascii="Arial" w:hAnsi="Arial" w:cs="Arial"/>
        </w:rPr>
      </w:pPr>
    </w:p>
    <w:p w14:paraId="5A5054DF" w14:textId="56D4DCEE" w:rsidR="007324BF" w:rsidRDefault="007324BF">
      <w:pPr>
        <w:rPr>
          <w:rFonts w:ascii="Arial" w:hAnsi="Arial" w:cs="Arial"/>
        </w:rPr>
      </w:pPr>
    </w:p>
    <w:tbl>
      <w:tblPr>
        <w:tblStyle w:val="TableGrid"/>
        <w:tblW w:w="0" w:type="auto"/>
        <w:tblLook w:val="04A0" w:firstRow="1" w:lastRow="0" w:firstColumn="1" w:lastColumn="0" w:noHBand="0" w:noVBand="1"/>
      </w:tblPr>
      <w:tblGrid>
        <w:gridCol w:w="1781"/>
        <w:gridCol w:w="1788"/>
        <w:gridCol w:w="1780"/>
        <w:gridCol w:w="1780"/>
        <w:gridCol w:w="1781"/>
      </w:tblGrid>
      <w:tr w:rsidR="006B7C42" w:rsidRPr="00F565C9" w14:paraId="2FABF817" w14:textId="77777777" w:rsidTr="00685CB4">
        <w:trPr>
          <w:trHeight w:val="609"/>
        </w:trPr>
        <w:tc>
          <w:tcPr>
            <w:tcW w:w="1781" w:type="dxa"/>
          </w:tcPr>
          <w:p w14:paraId="19780A5C"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lastRenderedPageBreak/>
              <w:t>Stakeholder</w:t>
            </w:r>
          </w:p>
        </w:tc>
        <w:tc>
          <w:tcPr>
            <w:tcW w:w="1788" w:type="dxa"/>
          </w:tcPr>
          <w:p w14:paraId="2D3237DA"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Environment</w:t>
            </w:r>
          </w:p>
        </w:tc>
        <w:tc>
          <w:tcPr>
            <w:tcW w:w="1780" w:type="dxa"/>
          </w:tcPr>
          <w:p w14:paraId="7A956428"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Individual Rights</w:t>
            </w:r>
          </w:p>
        </w:tc>
        <w:tc>
          <w:tcPr>
            <w:tcW w:w="1780" w:type="dxa"/>
          </w:tcPr>
          <w:p w14:paraId="50305B0D"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Tourism</w:t>
            </w:r>
          </w:p>
        </w:tc>
        <w:tc>
          <w:tcPr>
            <w:tcW w:w="1781" w:type="dxa"/>
          </w:tcPr>
          <w:p w14:paraId="6A21D9C3"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 xml:space="preserve">Business </w:t>
            </w:r>
          </w:p>
        </w:tc>
      </w:tr>
      <w:tr w:rsidR="006B7C42" w:rsidRPr="00F565C9" w14:paraId="50007886" w14:textId="77777777" w:rsidTr="00685CB4">
        <w:trPr>
          <w:trHeight w:val="621"/>
        </w:trPr>
        <w:tc>
          <w:tcPr>
            <w:tcW w:w="1781" w:type="dxa"/>
          </w:tcPr>
          <w:p w14:paraId="7359538F"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State of Florida</w:t>
            </w:r>
            <w:r>
              <w:rPr>
                <w:rFonts w:ascii="Arial" w:hAnsi="Arial" w:cs="Arial"/>
                <w:sz w:val="24"/>
                <w:szCs w:val="24"/>
              </w:rPr>
              <w:t xml:space="preserve"> (responses from interviewed not yet received)</w:t>
            </w:r>
          </w:p>
        </w:tc>
        <w:tc>
          <w:tcPr>
            <w:tcW w:w="1788" w:type="dxa"/>
          </w:tcPr>
          <w:p w14:paraId="44E7808C" w14:textId="2CB66A3B" w:rsidR="006B7C42" w:rsidRPr="00F565C9" w:rsidRDefault="00293814" w:rsidP="00685CB4">
            <w:pPr>
              <w:spacing w:after="160" w:line="259" w:lineRule="auto"/>
              <w:rPr>
                <w:rFonts w:ascii="Arial" w:hAnsi="Arial" w:cs="Arial"/>
                <w:sz w:val="24"/>
                <w:szCs w:val="24"/>
              </w:rPr>
            </w:pPr>
            <w:r>
              <w:rPr>
                <w:rFonts w:ascii="Arial" w:hAnsi="Arial" w:cs="Arial"/>
                <w:sz w:val="24"/>
                <w:szCs w:val="24"/>
              </w:rPr>
              <w:t>3-4</w:t>
            </w:r>
          </w:p>
        </w:tc>
        <w:tc>
          <w:tcPr>
            <w:tcW w:w="1780" w:type="dxa"/>
          </w:tcPr>
          <w:p w14:paraId="003B4E69" w14:textId="24887150" w:rsidR="006B7C42" w:rsidRPr="00F565C9" w:rsidRDefault="00293814" w:rsidP="00685CB4">
            <w:pPr>
              <w:spacing w:after="160" w:line="259" w:lineRule="auto"/>
              <w:rPr>
                <w:rFonts w:ascii="Arial" w:hAnsi="Arial" w:cs="Arial"/>
                <w:sz w:val="24"/>
                <w:szCs w:val="24"/>
              </w:rPr>
            </w:pPr>
            <w:r>
              <w:rPr>
                <w:rFonts w:ascii="Arial" w:hAnsi="Arial" w:cs="Arial"/>
                <w:sz w:val="24"/>
                <w:szCs w:val="24"/>
              </w:rPr>
              <w:t>3-4</w:t>
            </w:r>
          </w:p>
        </w:tc>
        <w:tc>
          <w:tcPr>
            <w:tcW w:w="1780" w:type="dxa"/>
          </w:tcPr>
          <w:p w14:paraId="7E3BB38F" w14:textId="3517CC3D" w:rsidR="006B7C42" w:rsidRPr="00F565C9" w:rsidRDefault="00293814" w:rsidP="00685CB4">
            <w:pPr>
              <w:spacing w:after="160" w:line="259" w:lineRule="auto"/>
              <w:rPr>
                <w:rFonts w:ascii="Arial" w:hAnsi="Arial" w:cs="Arial"/>
                <w:sz w:val="24"/>
                <w:szCs w:val="24"/>
              </w:rPr>
            </w:pPr>
            <w:r>
              <w:rPr>
                <w:rFonts w:ascii="Arial" w:hAnsi="Arial" w:cs="Arial"/>
                <w:sz w:val="24"/>
                <w:szCs w:val="24"/>
              </w:rPr>
              <w:t>5</w:t>
            </w:r>
            <w:r w:rsidR="00663F86">
              <w:rPr>
                <w:rFonts w:ascii="Arial" w:hAnsi="Arial" w:cs="Arial"/>
                <w:sz w:val="24"/>
                <w:szCs w:val="24"/>
              </w:rPr>
              <w:t>X</w:t>
            </w:r>
          </w:p>
        </w:tc>
        <w:tc>
          <w:tcPr>
            <w:tcW w:w="1781" w:type="dxa"/>
          </w:tcPr>
          <w:p w14:paraId="5364759A" w14:textId="6D031C9F" w:rsidR="006B7C42" w:rsidRPr="00F565C9" w:rsidRDefault="00293814" w:rsidP="00685CB4">
            <w:pPr>
              <w:spacing w:after="160" w:line="259" w:lineRule="auto"/>
              <w:rPr>
                <w:rFonts w:ascii="Arial" w:hAnsi="Arial" w:cs="Arial"/>
                <w:sz w:val="24"/>
                <w:szCs w:val="24"/>
              </w:rPr>
            </w:pPr>
            <w:r>
              <w:rPr>
                <w:rFonts w:ascii="Arial" w:hAnsi="Arial" w:cs="Arial"/>
                <w:sz w:val="24"/>
                <w:szCs w:val="24"/>
              </w:rPr>
              <w:t>5</w:t>
            </w:r>
            <w:r w:rsidR="00663F86">
              <w:rPr>
                <w:rFonts w:ascii="Arial" w:hAnsi="Arial" w:cs="Arial"/>
                <w:sz w:val="24"/>
                <w:szCs w:val="24"/>
              </w:rPr>
              <w:t>X</w:t>
            </w:r>
          </w:p>
        </w:tc>
      </w:tr>
      <w:tr w:rsidR="006B7C42" w:rsidRPr="00F565C9" w14:paraId="10D7BDF5" w14:textId="77777777" w:rsidTr="00685CB4">
        <w:trPr>
          <w:trHeight w:val="609"/>
        </w:trPr>
        <w:tc>
          <w:tcPr>
            <w:tcW w:w="1781" w:type="dxa"/>
          </w:tcPr>
          <w:p w14:paraId="3D1C95E1"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City of Gainesville</w:t>
            </w:r>
            <w:r>
              <w:rPr>
                <w:rFonts w:ascii="Arial" w:hAnsi="Arial" w:cs="Arial"/>
                <w:sz w:val="24"/>
                <w:szCs w:val="24"/>
              </w:rPr>
              <w:t xml:space="preserve"> (responses from interviewed not yet received)</w:t>
            </w:r>
          </w:p>
        </w:tc>
        <w:tc>
          <w:tcPr>
            <w:tcW w:w="1788" w:type="dxa"/>
          </w:tcPr>
          <w:p w14:paraId="0CAEB37B" w14:textId="758985E3" w:rsidR="006B7C42" w:rsidRPr="00F565C9" w:rsidRDefault="00293814" w:rsidP="00685CB4">
            <w:pPr>
              <w:spacing w:after="160" w:line="259" w:lineRule="auto"/>
              <w:rPr>
                <w:rFonts w:ascii="Arial" w:hAnsi="Arial" w:cs="Arial"/>
                <w:sz w:val="24"/>
                <w:szCs w:val="24"/>
              </w:rPr>
            </w:pPr>
            <w:r>
              <w:rPr>
                <w:rFonts w:ascii="Arial" w:hAnsi="Arial" w:cs="Arial"/>
                <w:sz w:val="24"/>
                <w:szCs w:val="24"/>
              </w:rPr>
              <w:t>2-3</w:t>
            </w:r>
          </w:p>
        </w:tc>
        <w:tc>
          <w:tcPr>
            <w:tcW w:w="1780" w:type="dxa"/>
          </w:tcPr>
          <w:p w14:paraId="252827E3" w14:textId="74E603C9" w:rsidR="006B7C42" w:rsidRPr="00F565C9" w:rsidRDefault="00293814" w:rsidP="00685CB4">
            <w:pPr>
              <w:spacing w:after="160" w:line="259" w:lineRule="auto"/>
              <w:rPr>
                <w:rFonts w:ascii="Arial" w:hAnsi="Arial" w:cs="Arial"/>
                <w:sz w:val="24"/>
                <w:szCs w:val="24"/>
              </w:rPr>
            </w:pPr>
            <w:r>
              <w:rPr>
                <w:rFonts w:ascii="Arial" w:hAnsi="Arial" w:cs="Arial"/>
                <w:sz w:val="24"/>
                <w:szCs w:val="24"/>
              </w:rPr>
              <w:t>2-3</w:t>
            </w:r>
          </w:p>
        </w:tc>
        <w:tc>
          <w:tcPr>
            <w:tcW w:w="1780" w:type="dxa"/>
          </w:tcPr>
          <w:p w14:paraId="108EFDC5" w14:textId="6626C7E2" w:rsidR="006B7C42" w:rsidRPr="00F565C9" w:rsidRDefault="00293814" w:rsidP="00685CB4">
            <w:pPr>
              <w:spacing w:after="160" w:line="259" w:lineRule="auto"/>
              <w:rPr>
                <w:rFonts w:ascii="Arial" w:hAnsi="Arial" w:cs="Arial"/>
                <w:sz w:val="24"/>
                <w:szCs w:val="24"/>
              </w:rPr>
            </w:pPr>
            <w:r>
              <w:rPr>
                <w:rFonts w:ascii="Arial" w:hAnsi="Arial" w:cs="Arial"/>
                <w:sz w:val="24"/>
                <w:szCs w:val="24"/>
              </w:rPr>
              <w:t>3-4</w:t>
            </w:r>
          </w:p>
        </w:tc>
        <w:tc>
          <w:tcPr>
            <w:tcW w:w="1781" w:type="dxa"/>
          </w:tcPr>
          <w:p w14:paraId="58AA1AEC" w14:textId="2B6DDF26" w:rsidR="006B7C42" w:rsidRPr="00F565C9" w:rsidRDefault="00293814" w:rsidP="00685CB4">
            <w:pPr>
              <w:spacing w:after="160" w:line="259" w:lineRule="auto"/>
              <w:rPr>
                <w:rFonts w:ascii="Arial" w:hAnsi="Arial" w:cs="Arial"/>
                <w:sz w:val="24"/>
                <w:szCs w:val="24"/>
              </w:rPr>
            </w:pPr>
            <w:r>
              <w:rPr>
                <w:rFonts w:ascii="Arial" w:hAnsi="Arial" w:cs="Arial"/>
                <w:sz w:val="24"/>
                <w:szCs w:val="24"/>
              </w:rPr>
              <w:t>5</w:t>
            </w:r>
            <w:r w:rsidR="00663F86">
              <w:rPr>
                <w:rFonts w:ascii="Arial" w:hAnsi="Arial" w:cs="Arial"/>
                <w:sz w:val="24"/>
                <w:szCs w:val="24"/>
              </w:rPr>
              <w:t>X</w:t>
            </w:r>
          </w:p>
        </w:tc>
      </w:tr>
      <w:tr w:rsidR="006B7C42" w:rsidRPr="00F565C9" w14:paraId="0E1531C4" w14:textId="77777777" w:rsidTr="00685CB4">
        <w:trPr>
          <w:trHeight w:val="919"/>
        </w:trPr>
        <w:tc>
          <w:tcPr>
            <w:tcW w:w="1781" w:type="dxa"/>
          </w:tcPr>
          <w:p w14:paraId="3F9F1AE6"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Residents for the straw ban</w:t>
            </w:r>
          </w:p>
        </w:tc>
        <w:tc>
          <w:tcPr>
            <w:tcW w:w="1788" w:type="dxa"/>
          </w:tcPr>
          <w:p w14:paraId="55D7BA8D" w14:textId="4A7A9275"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4</w:t>
            </w:r>
            <w:r w:rsidR="002B4EE0">
              <w:rPr>
                <w:rFonts w:ascii="Arial" w:hAnsi="Arial" w:cs="Arial"/>
                <w:sz w:val="24"/>
                <w:szCs w:val="24"/>
              </w:rPr>
              <w:t>X</w:t>
            </w:r>
          </w:p>
        </w:tc>
        <w:tc>
          <w:tcPr>
            <w:tcW w:w="1780" w:type="dxa"/>
          </w:tcPr>
          <w:p w14:paraId="501C9A9F"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2</w:t>
            </w:r>
          </w:p>
        </w:tc>
        <w:tc>
          <w:tcPr>
            <w:tcW w:w="1780" w:type="dxa"/>
          </w:tcPr>
          <w:p w14:paraId="7464B913"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2</w:t>
            </w:r>
          </w:p>
        </w:tc>
        <w:tc>
          <w:tcPr>
            <w:tcW w:w="1781" w:type="dxa"/>
          </w:tcPr>
          <w:p w14:paraId="571CFCA5"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3</w:t>
            </w:r>
          </w:p>
        </w:tc>
      </w:tr>
      <w:tr w:rsidR="006B7C42" w:rsidRPr="00F565C9" w14:paraId="7C11C7FE" w14:textId="77777777" w:rsidTr="00685CB4">
        <w:trPr>
          <w:trHeight w:val="919"/>
        </w:trPr>
        <w:tc>
          <w:tcPr>
            <w:tcW w:w="1781" w:type="dxa"/>
          </w:tcPr>
          <w:p w14:paraId="5E22EE4A"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 xml:space="preserve">Residents against the straw ban </w:t>
            </w:r>
          </w:p>
        </w:tc>
        <w:tc>
          <w:tcPr>
            <w:tcW w:w="1788" w:type="dxa"/>
          </w:tcPr>
          <w:p w14:paraId="7D1C6EA9"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3</w:t>
            </w:r>
          </w:p>
        </w:tc>
        <w:tc>
          <w:tcPr>
            <w:tcW w:w="1780" w:type="dxa"/>
          </w:tcPr>
          <w:p w14:paraId="46CE4B2C" w14:textId="69ECC9C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4</w:t>
            </w:r>
            <w:r w:rsidR="002B4EE0">
              <w:rPr>
                <w:rFonts w:ascii="Arial" w:hAnsi="Arial" w:cs="Arial"/>
                <w:sz w:val="24"/>
                <w:szCs w:val="24"/>
              </w:rPr>
              <w:t>X</w:t>
            </w:r>
          </w:p>
        </w:tc>
        <w:tc>
          <w:tcPr>
            <w:tcW w:w="1780" w:type="dxa"/>
          </w:tcPr>
          <w:p w14:paraId="7326A189" w14:textId="77777777"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2</w:t>
            </w:r>
          </w:p>
        </w:tc>
        <w:tc>
          <w:tcPr>
            <w:tcW w:w="1781" w:type="dxa"/>
          </w:tcPr>
          <w:p w14:paraId="2C0FFAB5" w14:textId="3C05D59F" w:rsidR="006B7C42" w:rsidRPr="00F565C9" w:rsidRDefault="006B7C42" w:rsidP="00685CB4">
            <w:pPr>
              <w:spacing w:after="160" w:line="259" w:lineRule="auto"/>
              <w:rPr>
                <w:rFonts w:ascii="Arial" w:hAnsi="Arial" w:cs="Arial"/>
                <w:sz w:val="24"/>
                <w:szCs w:val="24"/>
              </w:rPr>
            </w:pPr>
            <w:r w:rsidRPr="00F565C9">
              <w:rPr>
                <w:rFonts w:ascii="Arial" w:hAnsi="Arial" w:cs="Arial"/>
                <w:sz w:val="24"/>
                <w:szCs w:val="24"/>
              </w:rPr>
              <w:t>4</w:t>
            </w:r>
            <w:r w:rsidR="002B4EE0">
              <w:rPr>
                <w:rFonts w:ascii="Arial" w:hAnsi="Arial" w:cs="Arial"/>
                <w:sz w:val="24"/>
                <w:szCs w:val="24"/>
              </w:rPr>
              <w:t>X</w:t>
            </w:r>
          </w:p>
        </w:tc>
      </w:tr>
    </w:tbl>
    <w:p w14:paraId="51325E19" w14:textId="2E705418" w:rsidR="006B7C42" w:rsidRPr="00F565C9" w:rsidRDefault="006B7C42" w:rsidP="006B7C42">
      <w:pPr>
        <w:rPr>
          <w:rFonts w:ascii="Arial" w:hAnsi="Arial" w:cs="Arial"/>
          <w:sz w:val="24"/>
          <w:szCs w:val="24"/>
        </w:rPr>
      </w:pPr>
      <w:r w:rsidRPr="00F565C9">
        <w:rPr>
          <w:rFonts w:ascii="Arial" w:hAnsi="Arial" w:cs="Arial"/>
          <w:sz w:val="24"/>
          <w:szCs w:val="24"/>
        </w:rPr>
        <w:t xml:space="preserve">Table 1- </w:t>
      </w:r>
      <w:r w:rsidR="0095259A">
        <w:rPr>
          <w:rFonts w:ascii="Arial" w:hAnsi="Arial" w:cs="Arial"/>
          <w:sz w:val="24"/>
          <w:szCs w:val="24"/>
        </w:rPr>
        <w:t>Areas</w:t>
      </w:r>
      <w:r w:rsidR="0095259A" w:rsidRPr="0095259A">
        <w:rPr>
          <w:rFonts w:ascii="Arial" w:hAnsi="Arial" w:cs="Arial"/>
          <w:sz w:val="24"/>
          <w:szCs w:val="24"/>
        </w:rPr>
        <w:t xml:space="preserve"> of agreement and disagreement matrix. 1 to 5 represent the level of priority, where 1 is the lowest and 5 is the highest.</w:t>
      </w:r>
    </w:p>
    <w:p w14:paraId="3F2C8235" w14:textId="77777777" w:rsidR="007324BF" w:rsidRPr="007324BF" w:rsidRDefault="007324BF">
      <w:pPr>
        <w:rPr>
          <w:rFonts w:ascii="Arial" w:hAnsi="Arial" w:cs="Arial"/>
        </w:rPr>
      </w:pPr>
    </w:p>
    <w:sectPr w:rsidR="007324BF" w:rsidRPr="0073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BF"/>
    <w:rsid w:val="00112224"/>
    <w:rsid w:val="0012568D"/>
    <w:rsid w:val="001731E2"/>
    <w:rsid w:val="00293814"/>
    <w:rsid w:val="002B4EE0"/>
    <w:rsid w:val="00462809"/>
    <w:rsid w:val="00663F86"/>
    <w:rsid w:val="006B7C42"/>
    <w:rsid w:val="007324BF"/>
    <w:rsid w:val="0079126D"/>
    <w:rsid w:val="0095259A"/>
    <w:rsid w:val="009B16D5"/>
    <w:rsid w:val="00B134C1"/>
    <w:rsid w:val="00D33D5A"/>
    <w:rsid w:val="00DF6C3E"/>
    <w:rsid w:val="00E00F39"/>
    <w:rsid w:val="00F6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8F15"/>
  <w15:chartTrackingRefBased/>
  <w15:docId w15:val="{542C6E44-ABE4-4A0E-8635-EB9C5F78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13</cp:revision>
  <dcterms:created xsi:type="dcterms:W3CDTF">2019-07-21T18:55:00Z</dcterms:created>
  <dcterms:modified xsi:type="dcterms:W3CDTF">2019-07-21T23:05:00Z</dcterms:modified>
</cp:coreProperties>
</file>