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57FDE190" w:rsidR="00A77E78" w:rsidRPr="004C2982" w:rsidRDefault="00965FA5" w:rsidP="004C2982">
      <w:pPr>
        <w:pStyle w:val="BodyText"/>
        <w:spacing w:line="360" w:lineRule="auto"/>
        <w:jc w:val="center"/>
        <w:rPr>
          <w:rFonts w:ascii="Arial" w:hAnsi="Arial" w:cs="Arial"/>
          <w:b/>
          <w:bCs/>
        </w:rPr>
      </w:pPr>
      <w:r>
        <w:rPr>
          <w:rFonts w:ascii="Arial" w:hAnsi="Arial" w:cs="Arial"/>
          <w:b/>
          <w:bCs/>
        </w:rPr>
        <w:t>September</w:t>
      </w:r>
      <w:r w:rsidR="00A77E78" w:rsidRPr="004C2982">
        <w:rPr>
          <w:rFonts w:ascii="Arial" w:hAnsi="Arial" w:cs="Arial"/>
          <w:b/>
          <w:bCs/>
        </w:rPr>
        <w:t xml:space="preserve"> </w:t>
      </w:r>
      <w:r w:rsidR="00623372">
        <w:rPr>
          <w:rFonts w:ascii="Arial" w:hAnsi="Arial" w:cs="Arial"/>
          <w:b/>
          <w:bCs/>
        </w:rPr>
        <w:t>2</w:t>
      </w:r>
      <w:r>
        <w:rPr>
          <w:rFonts w:ascii="Arial" w:hAnsi="Arial" w:cs="Arial"/>
          <w:b/>
          <w:bCs/>
        </w:rPr>
        <w:t>2</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56B61E4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 e.g.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“Living data” are defined as data which are continuously collected and updated.  These types of data are critical to this type of adaptive learning to inform restoration and management actions (</w:t>
      </w:r>
      <w:proofErr w:type="spellStart"/>
      <w:r w:rsidR="00250D77" w:rsidRPr="004C2982">
        <w:rPr>
          <w:rFonts w:ascii="Arial" w:hAnsi="Arial" w:cs="Arial"/>
          <w:color w:val="000000" w:themeColor="text1"/>
        </w:rPr>
        <w:t>Yenni</w:t>
      </w:r>
      <w:proofErr w:type="spellEnd"/>
      <w:r w:rsidR="00250D77" w:rsidRPr="004C2982">
        <w:rPr>
          <w:rFonts w:ascii="Arial" w:hAnsi="Arial" w:cs="Arial"/>
          <w:color w:val="000000" w:themeColor="text1"/>
        </w:rPr>
        <w:t xml:space="preserve">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w:t>
      </w:r>
      <w:proofErr w:type="spellStart"/>
      <w:r w:rsidR="00250D77" w:rsidRPr="004C2982">
        <w:rPr>
          <w:rFonts w:ascii="Arial" w:hAnsi="Arial" w:cs="Arial"/>
          <w:color w:val="000000" w:themeColor="text1"/>
        </w:rPr>
        <w:t>Holling</w:t>
      </w:r>
      <w:proofErr w:type="spellEnd"/>
      <w:r w:rsidR="00250D77" w:rsidRPr="004C2982">
        <w:rPr>
          <w:rFonts w:ascii="Arial" w:hAnsi="Arial" w:cs="Arial"/>
          <w:color w:val="000000" w:themeColor="text1"/>
        </w:rPr>
        <w:t xml:space="preserve">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w:t>
      </w:r>
      <w:proofErr w:type="spellStart"/>
      <w:r w:rsidR="00250D77" w:rsidRPr="004C2982">
        <w:rPr>
          <w:rFonts w:ascii="Arial" w:hAnsi="Arial" w:cs="Arial"/>
          <w:color w:val="000000" w:themeColor="text1"/>
        </w:rPr>
        <w:t>Bearlin</w:t>
      </w:r>
      <w:proofErr w:type="spellEnd"/>
      <w:r w:rsidR="00250D77" w:rsidRPr="004C2982">
        <w:rPr>
          <w:rFonts w:ascii="Arial" w:hAnsi="Arial" w:cs="Arial"/>
          <w:color w:val="000000" w:themeColor="text1"/>
        </w:rPr>
        <w:t xml:space="preserve">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23133B20" w14:textId="364C3EA9" w:rsidR="00A33645" w:rsidRPr="004C2982" w:rsidRDefault="00C431DA" w:rsidP="004C2982">
      <w:pPr>
        <w:pStyle w:val="Heading2"/>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Methods</w:t>
      </w:r>
    </w:p>
    <w:p w14:paraId="33CFEE8D" w14:textId="77777777" w:rsidR="00A33645" w:rsidRPr="004C2982" w:rsidRDefault="00C431DA" w:rsidP="004C2982">
      <w:pPr>
        <w:pStyle w:val="FirstParagraph"/>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2F80DBFC" wp14:editId="29517D9A">
            <wp:extent cx="6346209" cy="2988860"/>
            <wp:effectExtent l="0" t="0" r="0" b="254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workflow2.png"/>
                    <pic:cNvPicPr>
                      <a:picLocks noChangeAspect="1" noChangeArrowheads="1"/>
                    </pic:cNvPicPr>
                  </pic:nvPicPr>
                  <pic:blipFill>
                    <a:blip r:embed="rId11"/>
                    <a:stretch>
                      <a:fillRect/>
                    </a:stretch>
                  </pic:blipFill>
                  <pic:spPr bwMode="auto">
                    <a:xfrm>
                      <a:off x="0" y="0"/>
                      <a:ext cx="6397882" cy="3013196"/>
                    </a:xfrm>
                    <a:prstGeom prst="rect">
                      <a:avLst/>
                    </a:prstGeom>
                    <a:noFill/>
                    <a:ln w="9525">
                      <a:noFill/>
                      <a:headEnd/>
                      <a:tailEnd/>
                    </a:ln>
                  </pic:spPr>
                </pic:pic>
              </a:graphicData>
            </a:graphic>
          </wp:inline>
        </w:drawing>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77777777"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1712FC40" w:rsidR="00A33645" w:rsidRPr="004C2982" w:rsidRDefault="0021506D" w:rsidP="00206E9D">
      <w:pPr>
        <w:pStyle w:val="FirstParagraph"/>
        <w:spacing w:line="360" w:lineRule="auto"/>
        <w:ind w:firstLine="720"/>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61824" behindDoc="0" locked="0" layoutInCell="1" allowOverlap="1" wp14:anchorId="516E51BC" wp14:editId="4E63D587">
            <wp:simplePos x="0" y="0"/>
            <wp:positionH relativeFrom="margin">
              <wp:align>left</wp:align>
            </wp:positionH>
            <wp:positionV relativeFrom="paragraph">
              <wp:posOffset>2768960</wp:posOffset>
            </wp:positionV>
            <wp:extent cx="6318885" cy="1991995"/>
            <wp:effectExtent l="0" t="0" r="5715" b="825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usgs_pic.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18885" cy="19919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1CEE786A"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For the </w:t>
      </w:r>
      <w:r w:rsidR="006E71CC" w:rsidRPr="004C2982">
        <w:rPr>
          <w:rFonts w:ascii="Arial" w:hAnsi="Arial" w:cs="Arial"/>
          <w:color w:val="000000" w:themeColor="text1"/>
        </w:rPr>
        <w:t>LCR</w:t>
      </w:r>
      <w:r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Pr="004C2982">
        <w:rPr>
          <w:rFonts w:ascii="Arial" w:hAnsi="Arial" w:cs="Arial"/>
          <w:color w:val="000000" w:themeColor="text1"/>
        </w:rPr>
        <w:t>sheets when possible with basi</w:t>
      </w:r>
      <w:r w:rsidR="00AF25AE" w:rsidRPr="004C2982">
        <w:rPr>
          <w:rFonts w:ascii="Arial" w:hAnsi="Arial" w:cs="Arial"/>
          <w:color w:val="000000" w:themeColor="text1"/>
        </w:rPr>
        <w:t xml:space="preserve">c </w:t>
      </w:r>
      <w:r w:rsidRPr="004C2982">
        <w:rPr>
          <w:rFonts w:ascii="Arial" w:hAnsi="Arial" w:cs="Arial"/>
          <w:color w:val="000000" w:themeColor="text1"/>
        </w:rPr>
        <w:t>information including, date and location following data naming standards and field protocols (Figure 4).</w:t>
      </w:r>
    </w:p>
    <w:p w14:paraId="0A36532A" w14:textId="506A537A" w:rsidR="00A33645" w:rsidRPr="004C2982" w:rsidRDefault="00AF25AE" w:rsidP="004C2982">
      <w:pPr>
        <w:pStyle w:val="BodyText"/>
        <w:spacing w:line="360" w:lineRule="auto"/>
        <w:rPr>
          <w:rFonts w:ascii="Arial" w:hAnsi="Arial" w:cs="Arial"/>
          <w:color w:val="000000" w:themeColor="text1"/>
        </w:rPr>
      </w:pPr>
      <w:r w:rsidRPr="004C2982">
        <w:rPr>
          <w:rFonts w:ascii="Arial" w:hAnsi="Arial" w:cs="Arial"/>
          <w:noProof/>
          <w:color w:val="000000" w:themeColor="text1"/>
        </w:rPr>
        <w:drawing>
          <wp:anchor distT="0" distB="0" distL="114300" distR="114300" simplePos="0" relativeHeight="251657216" behindDoc="0" locked="0" layoutInCell="1" allowOverlap="1" wp14:anchorId="5E8D2B4D" wp14:editId="6DF41B8F">
            <wp:simplePos x="0" y="0"/>
            <wp:positionH relativeFrom="margin">
              <wp:align>center</wp:align>
            </wp:positionH>
            <wp:positionV relativeFrom="paragraph">
              <wp:posOffset>0</wp:posOffset>
            </wp:positionV>
            <wp:extent cx="4490085" cy="4121150"/>
            <wp:effectExtent l="0" t="0" r="571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physical_shee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90085" cy="4121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0E53E57" w14:textId="24437B13"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Physical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applicable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3F66F273"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10D8FE69"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B87885" w:rsidRPr="004C2982">
        <w:rPr>
          <w:rFonts w:ascii="Arial" w:hAnsi="Arial" w:cs="Arial"/>
          <w:color w:val="000000" w:themeColor="text1"/>
        </w:rPr>
        <w:t xml:space="preserve"> (N=9)</w:t>
      </w:r>
      <w:r w:rsidRPr="004C2982">
        <w:rPr>
          <w:rFonts w:ascii="Arial" w:hAnsi="Arial" w:cs="Arial"/>
          <w:color w:val="000000" w:themeColor="text1"/>
        </w:rPr>
        <w:t xml:space="preserve"> that track 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proofErr w:type="spellStart"/>
      <w:r w:rsidR="001B721F" w:rsidRPr="004C2982">
        <w:rPr>
          <w:rFonts w:ascii="Arial" w:hAnsi="Arial" w:cs="Arial"/>
          <w:color w:val="222222"/>
          <w:shd w:val="clear" w:color="auto" w:fill="FFFFFF"/>
        </w:rPr>
        <w:t>μS</w:t>
      </w:r>
      <w:proofErr w:type="spellEnd"/>
      <w:r w:rsidR="001B721F" w:rsidRPr="004C2982">
        <w:rPr>
          <w:rFonts w:ascii="Arial" w:hAnsi="Arial" w:cs="Arial"/>
          <w:color w:val="222222"/>
          <w:shd w:val="clear" w:color="auto" w:fill="FFFFFF"/>
        </w:rPr>
        <w:t>/m)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270F8FEC"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450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45C5D07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defective data. I will use a Data 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6DD9AA05" w14:textId="7494E6A7"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579261E3">
            <wp:simplePos x="0" y="0"/>
            <wp:positionH relativeFrom="margin">
              <wp:align>right</wp:align>
            </wp:positionH>
            <wp:positionV relativeFrom="paragraph">
              <wp:posOffset>2600179</wp:posOffset>
            </wp:positionV>
            <wp:extent cx="5942965" cy="1855470"/>
            <wp:effectExtent l="0" t="0" r="63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18554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2DC58A6" w14:textId="77777777" w:rsidR="006F6878" w:rsidRPr="004C2982" w:rsidRDefault="006F6878" w:rsidP="004C2982">
      <w:pPr>
        <w:pStyle w:val="BodyText"/>
        <w:spacing w:line="360" w:lineRule="auto"/>
        <w:rPr>
          <w:rFonts w:ascii="Arial" w:hAnsi="Arial" w:cs="Arial"/>
          <w:color w:val="000000" w:themeColor="text1"/>
        </w:rPr>
      </w:pP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62729E0D" w14:textId="4D5BC8F6" w:rsidR="00A33645" w:rsidRPr="004C2982" w:rsidRDefault="00C431DA" w:rsidP="0042758C">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when needed. 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4686C16D"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7">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 xml:space="preserve">project will use a GitHub structure for version control. I will manage the Excel workbooks used for data entry and initial QA/QC in Git to allow each user to see when new data are available. I will also use GitHub to track changes in </w:t>
      </w:r>
      <w:r w:rsidRPr="004C2982">
        <w:rPr>
          <w:rFonts w:ascii="Arial" w:hAnsi="Arial" w:cs="Arial"/>
          <w:color w:val="000000" w:themeColor="text1"/>
        </w:rPr>
        <w:lastRenderedPageBreak/>
        <w:t>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77777777"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I will develop a naming structure which will require files start with the date of creation, in the format YYYYMMDD. Each file will have additional information, that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12A3008A">
            <wp:extent cx="3163986" cy="63117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8"/>
                    <a:stretch>
                      <a:fillRect/>
                    </a:stretch>
                  </pic:blipFill>
                  <pic:spPr bwMode="auto">
                    <a:xfrm>
                      <a:off x="0" y="0"/>
                      <a:ext cx="3400429" cy="678347"/>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19" w:anchor="examples">
        <w:r w:rsidRPr="004C2982">
          <w:rPr>
            <w:rStyle w:val="Hyperlink"/>
            <w:rFonts w:ascii="Arial" w:hAnsi="Arial" w:cs="Arial"/>
            <w:color w:val="000000" w:themeColor="text1"/>
          </w:rPr>
          <w:t>https://www.usgs.gov/products/data-and-tools/data-management/data-standards#examples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7430E786" w14:textId="77777777" w:rsidR="00993BCA" w:rsidRPr="004C2982" w:rsidRDefault="00993BCA" w:rsidP="00993BCA">
      <w:pPr>
        <w:pStyle w:val="BodyText"/>
        <w:spacing w:line="360" w:lineRule="auto"/>
        <w:rPr>
          <w:rFonts w:ascii="Arial" w:hAnsi="Arial" w:cs="Arial"/>
          <w:color w:val="000000" w:themeColor="text1"/>
        </w:rPr>
      </w:pPr>
    </w:p>
    <w:p w14:paraId="132EF924" w14:textId="77777777"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lastRenderedPageBreak/>
        <w:drawing>
          <wp:inline distT="0" distB="0" distL="0" distR="0" wp14:anchorId="7EA7BD32" wp14:editId="13676A8B">
            <wp:extent cx="5640149" cy="760651"/>
            <wp:effectExtent l="0" t="0" r="0" b="1905"/>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0"/>
                    <a:stretch>
                      <a:fillRect/>
                    </a:stretch>
                  </pic:blipFill>
                  <pic:spPr bwMode="auto">
                    <a:xfrm>
                      <a:off x="0" y="0"/>
                      <a:ext cx="5846887" cy="788532"/>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3FE19DC8" w14:textId="360DFE09" w:rsidR="00A33645" w:rsidRPr="004C2982" w:rsidRDefault="00C431DA" w:rsidP="00310376">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p>
    <w:p w14:paraId="23A62B77" w14:textId="77777777" w:rsidR="00AF685D" w:rsidRPr="004C2982" w:rsidRDefault="00AF685D" w:rsidP="004C2982">
      <w:pPr>
        <w:pStyle w:val="Heading3"/>
        <w:spacing w:line="360" w:lineRule="auto"/>
        <w:rPr>
          <w:rFonts w:ascii="Arial" w:hAnsi="Arial" w:cs="Arial"/>
          <w:color w:val="000000" w:themeColor="text1"/>
          <w:sz w:val="24"/>
          <w:szCs w:val="24"/>
        </w:rPr>
      </w:pP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445" w:type="dxa"/>
        <w:tblInd w:w="0" w:type="dxa"/>
        <w:tblLook w:val="04A0" w:firstRow="1" w:lastRow="0" w:firstColumn="1" w:lastColumn="0" w:noHBand="0" w:noVBand="1"/>
      </w:tblPr>
      <w:tblGrid>
        <w:gridCol w:w="4471"/>
        <w:gridCol w:w="4974"/>
      </w:tblGrid>
      <w:tr w:rsidR="006736F6" w:rsidRPr="004C2982" w14:paraId="145E2335" w14:textId="77777777" w:rsidTr="006736F6">
        <w:trPr>
          <w:trHeight w:val="209"/>
        </w:trPr>
        <w:tc>
          <w:tcPr>
            <w:tcW w:w="4471" w:type="dxa"/>
            <w:tcBorders>
              <w:top w:val="single" w:sz="4" w:space="0" w:color="auto"/>
              <w:left w:val="single" w:sz="4" w:space="0" w:color="auto"/>
              <w:bottom w:val="single" w:sz="4" w:space="0" w:color="auto"/>
              <w:right w:val="single" w:sz="4" w:space="0" w:color="auto"/>
            </w:tcBorders>
            <w:hideMark/>
          </w:tcPr>
          <w:p w14:paraId="02EC61E2"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Organization/ Person</w:t>
            </w:r>
          </w:p>
        </w:tc>
        <w:tc>
          <w:tcPr>
            <w:tcW w:w="4974" w:type="dxa"/>
            <w:tcBorders>
              <w:top w:val="single" w:sz="4" w:space="0" w:color="auto"/>
              <w:left w:val="single" w:sz="4" w:space="0" w:color="auto"/>
              <w:bottom w:val="single" w:sz="4" w:space="0" w:color="auto"/>
              <w:right w:val="single" w:sz="4" w:space="0" w:color="auto"/>
            </w:tcBorders>
            <w:hideMark/>
          </w:tcPr>
          <w:p w14:paraId="4173D924"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Deliverables</w:t>
            </w:r>
          </w:p>
        </w:tc>
      </w:tr>
      <w:tr w:rsidR="006736F6" w:rsidRPr="004C2982" w14:paraId="1D7445FC" w14:textId="77777777" w:rsidTr="006736F6">
        <w:trPr>
          <w:trHeight w:val="1525"/>
        </w:trPr>
        <w:tc>
          <w:tcPr>
            <w:tcW w:w="4471" w:type="dxa"/>
            <w:tcBorders>
              <w:top w:val="single" w:sz="4" w:space="0" w:color="auto"/>
              <w:left w:val="single" w:sz="4" w:space="0" w:color="auto"/>
              <w:bottom w:val="single" w:sz="4" w:space="0" w:color="auto"/>
              <w:right w:val="single" w:sz="4" w:space="0" w:color="auto"/>
            </w:tcBorders>
            <w:hideMark/>
          </w:tcPr>
          <w:p w14:paraId="7A796CA9"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ARCS (Academic Research Consulting and Services)</w:t>
            </w:r>
          </w:p>
        </w:tc>
        <w:tc>
          <w:tcPr>
            <w:tcW w:w="4974" w:type="dxa"/>
            <w:tcBorders>
              <w:top w:val="single" w:sz="4" w:space="0" w:color="auto"/>
              <w:left w:val="single" w:sz="4" w:space="0" w:color="auto"/>
              <w:bottom w:val="single" w:sz="4" w:space="0" w:color="auto"/>
              <w:right w:val="single" w:sz="4" w:space="0" w:color="auto"/>
            </w:tcBorders>
            <w:hideMark/>
          </w:tcPr>
          <w:p w14:paraId="7B4CAAE5" w14:textId="77777777" w:rsidR="006736F6" w:rsidRDefault="006736F6" w:rsidP="00310376">
            <w:pPr>
              <w:pStyle w:val="ListParagraph"/>
              <w:numPr>
                <w:ilvl w:val="0"/>
                <w:numId w:val="3"/>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 Data management to UF faculty through the lifecycle of their data</w:t>
            </w:r>
          </w:p>
          <w:p w14:paraId="4257C007" w14:textId="77777777" w:rsidR="00310376" w:rsidRDefault="00310376" w:rsidP="00310376">
            <w:pPr>
              <w:pStyle w:val="ListParagraph"/>
              <w:numPr>
                <w:ilvl w:val="0"/>
                <w:numId w:val="3"/>
              </w:numPr>
              <w:spacing w:after="0" w:line="360" w:lineRule="auto"/>
              <w:rPr>
                <w:rFonts w:ascii="Arial" w:hAnsi="Arial" w:cs="Arial"/>
                <w:color w:val="000000" w:themeColor="text1"/>
                <w:sz w:val="24"/>
                <w:szCs w:val="24"/>
              </w:rPr>
            </w:pPr>
            <w:r w:rsidRPr="00310376">
              <w:rPr>
                <w:rFonts w:ascii="Arial" w:hAnsi="Arial" w:cs="Arial"/>
                <w:color w:val="000000" w:themeColor="text1"/>
                <w:sz w:val="24"/>
                <w:szCs w:val="24"/>
              </w:rPr>
              <w:t>Providing researchers, a competitive edge to secure funding</w:t>
            </w:r>
          </w:p>
          <w:p w14:paraId="282E90C3" w14:textId="07415D08" w:rsidR="00310376" w:rsidRPr="00310376" w:rsidRDefault="00310376" w:rsidP="00310376">
            <w:pPr>
              <w:pStyle w:val="ListParagraph"/>
              <w:numPr>
                <w:ilvl w:val="0"/>
                <w:numId w:val="3"/>
              </w:numPr>
              <w:spacing w:after="0" w:line="360" w:lineRule="auto"/>
              <w:rPr>
                <w:rFonts w:ascii="Arial" w:hAnsi="Arial" w:cs="Arial"/>
                <w:color w:val="000000" w:themeColor="text1"/>
                <w:sz w:val="24"/>
                <w:szCs w:val="24"/>
              </w:rPr>
            </w:pPr>
            <w:r w:rsidRPr="00310376">
              <w:rPr>
                <w:rFonts w:ascii="Arial" w:hAnsi="Arial" w:cs="Arial"/>
                <w:color w:val="000000" w:themeColor="text1"/>
                <w:sz w:val="24"/>
                <w:szCs w:val="24"/>
              </w:rPr>
              <w:t>Creating plans that follow funding agencies compliance</w:t>
            </w:r>
          </w:p>
        </w:tc>
      </w:tr>
      <w:tr w:rsidR="006736F6" w:rsidRPr="004C2982" w14:paraId="1BA2AEA8" w14:textId="77777777" w:rsidTr="006736F6">
        <w:trPr>
          <w:trHeight w:val="2362"/>
        </w:trPr>
        <w:tc>
          <w:tcPr>
            <w:tcW w:w="4471" w:type="dxa"/>
            <w:tcBorders>
              <w:top w:val="single" w:sz="4" w:space="0" w:color="auto"/>
              <w:left w:val="single" w:sz="4" w:space="0" w:color="auto"/>
              <w:bottom w:val="single" w:sz="4" w:space="0" w:color="auto"/>
              <w:right w:val="single" w:sz="4" w:space="0" w:color="auto"/>
            </w:tcBorders>
            <w:hideMark/>
          </w:tcPr>
          <w:p w14:paraId="10AD906B"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LCR Project </w:t>
            </w:r>
          </w:p>
        </w:tc>
        <w:tc>
          <w:tcPr>
            <w:tcW w:w="4974" w:type="dxa"/>
            <w:tcBorders>
              <w:top w:val="single" w:sz="4" w:space="0" w:color="auto"/>
              <w:left w:val="single" w:sz="4" w:space="0" w:color="auto"/>
              <w:bottom w:val="single" w:sz="4" w:space="0" w:color="auto"/>
              <w:right w:val="single" w:sz="4" w:space="0" w:color="auto"/>
            </w:tcBorders>
          </w:tcPr>
          <w:p w14:paraId="6D8A115D" w14:textId="77777777" w:rsidR="006736F6" w:rsidRPr="004C2982" w:rsidRDefault="006736F6" w:rsidP="006736F6">
            <w:pPr>
              <w:pStyle w:val="ListParagraph"/>
              <w:numPr>
                <w:ilvl w:val="0"/>
                <w:numId w:val="5"/>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Executing Data Management and Access Plan:</w:t>
            </w:r>
          </w:p>
          <w:p w14:paraId="64C91B56"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Observational data including autonomous stations and oyster reef sampling</w:t>
            </w:r>
          </w:p>
          <w:p w14:paraId="122AAA81"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Management of specific data products</w:t>
            </w:r>
          </w:p>
          <w:p w14:paraId="09DBDECC"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Quality Assurance/Quality Control</w:t>
            </w:r>
          </w:p>
          <w:p w14:paraId="52FEF9F8" w14:textId="77777777" w:rsidR="006736F6" w:rsidRPr="004C2982" w:rsidRDefault="006736F6" w:rsidP="006736F6">
            <w:pPr>
              <w:pStyle w:val="ListParagraph"/>
              <w:numPr>
                <w:ilvl w:val="0"/>
                <w:numId w:val="6"/>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Access to Data and Data Sharing Practices and Policies</w:t>
            </w:r>
          </w:p>
          <w:p w14:paraId="1AC89256" w14:textId="77777777" w:rsidR="006736F6" w:rsidRPr="004C2982"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6736F6">
        <w:trPr>
          <w:trHeight w:val="1069"/>
        </w:trPr>
        <w:tc>
          <w:tcPr>
            <w:tcW w:w="4471" w:type="dxa"/>
            <w:tcBorders>
              <w:top w:val="single" w:sz="4" w:space="0" w:color="auto"/>
              <w:left w:val="single" w:sz="4" w:space="0" w:color="auto"/>
              <w:bottom w:val="single" w:sz="4" w:space="0" w:color="auto"/>
              <w:right w:val="single" w:sz="4" w:space="0" w:color="auto"/>
            </w:tcBorders>
            <w:hideMark/>
          </w:tcPr>
          <w:p w14:paraId="4B132C76" w14:textId="77777777" w:rsidR="006736F6" w:rsidRPr="004C2982" w:rsidRDefault="006736F6" w:rsidP="006736F6">
            <w:pPr>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Proposed research</w:t>
            </w:r>
          </w:p>
        </w:tc>
        <w:tc>
          <w:tcPr>
            <w:tcW w:w="4974" w:type="dxa"/>
            <w:tcBorders>
              <w:top w:val="single" w:sz="4" w:space="0" w:color="auto"/>
              <w:left w:val="single" w:sz="4" w:space="0" w:color="auto"/>
              <w:bottom w:val="single" w:sz="4" w:space="0" w:color="auto"/>
              <w:right w:val="single" w:sz="4" w:space="0" w:color="auto"/>
            </w:tcBorders>
          </w:tcPr>
          <w:p w14:paraId="399D8502"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Investigate data management needs for LCR project</w:t>
            </w:r>
          </w:p>
          <w:p w14:paraId="6B0464E8"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Continually updating workflow for maximum efficiency</w:t>
            </w:r>
          </w:p>
          <w:p w14:paraId="704E7C05" w14:textId="77777777" w:rsidR="006736F6" w:rsidRPr="004C2982" w:rsidRDefault="006736F6" w:rsidP="006736F6">
            <w:pPr>
              <w:pStyle w:val="ListParagraph"/>
              <w:numPr>
                <w:ilvl w:val="0"/>
                <w:numId w:val="7"/>
              </w:numPr>
              <w:spacing w:after="0"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Ensure data management plan is compliant with USGS Data Standards  </w:t>
            </w:r>
          </w:p>
          <w:p w14:paraId="0DF8B6D1" w14:textId="77777777" w:rsidR="006736F6" w:rsidRPr="004C2982" w:rsidRDefault="006736F6" w:rsidP="006736F6">
            <w:pPr>
              <w:pStyle w:val="ListParagraph"/>
              <w:spacing w:after="0" w:line="360" w:lineRule="auto"/>
              <w:rPr>
                <w:rFonts w:ascii="Arial" w:hAnsi="Arial" w:cs="Arial"/>
                <w:color w:val="000000" w:themeColor="text1"/>
                <w:sz w:val="24"/>
                <w:szCs w:val="24"/>
              </w:rPr>
            </w:pPr>
          </w:p>
        </w:tc>
      </w:tr>
    </w:tbl>
    <w:p w14:paraId="6520B49D" w14:textId="32BDD91B" w:rsidR="00AF685D" w:rsidRPr="004C2982" w:rsidRDefault="00AF685D" w:rsidP="004C2982">
      <w:pPr>
        <w:pStyle w:val="BodyText"/>
        <w:spacing w:line="360" w:lineRule="auto"/>
        <w:rPr>
          <w:rFonts w:ascii="Arial" w:hAnsi="Arial" w:cs="Arial"/>
        </w:rPr>
      </w:pPr>
    </w:p>
    <w:p w14:paraId="565FAE4F" w14:textId="5CCF58A2"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proofErr w:type="spellStart"/>
      <w:r w:rsidR="00843704">
        <w:rPr>
          <w:rFonts w:ascii="Arial" w:eastAsiaTheme="minorHAnsi" w:hAnsi="Arial" w:cs="Arial"/>
        </w:rPr>
        <w:t>Passeri</w:t>
      </w:r>
      <w:proofErr w:type="spellEnd"/>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w:t>
      </w:r>
      <w:proofErr w:type="spellStart"/>
      <w:r w:rsidRPr="00FB2DE9">
        <w:rPr>
          <w:rFonts w:ascii="Arial" w:eastAsiaTheme="minorHAnsi" w:hAnsi="Arial" w:cs="Arial"/>
        </w:rPr>
        <w:t>Cazenave</w:t>
      </w:r>
      <w:proofErr w:type="spellEnd"/>
      <w:r w:rsidRPr="00FB2DE9">
        <w:rPr>
          <w:rFonts w:ascii="Arial" w:eastAsiaTheme="minorHAnsi" w:hAnsi="Arial" w:cs="Arial"/>
        </w:rPr>
        <w:t xml:space="preserve">, 2010). Long-term effects will also occur on coastal shorelines, as sea-level changes, such as increased shoreline erosion and saltwater intrusion into groundwater which can impact vegetation (Nicholls and </w:t>
      </w:r>
      <w:proofErr w:type="spellStart"/>
      <w:r w:rsidRPr="00FB2DE9">
        <w:rPr>
          <w:rFonts w:ascii="Arial" w:eastAsiaTheme="minorHAnsi" w:hAnsi="Arial" w:cs="Arial"/>
        </w:rPr>
        <w:t>Cazenave</w:t>
      </w:r>
      <w:proofErr w:type="spellEnd"/>
      <w:r w:rsidRPr="00FB2DE9">
        <w:rPr>
          <w:rFonts w:ascii="Arial" w:eastAsiaTheme="minorHAnsi" w:hAnsi="Arial" w:cs="Arial"/>
        </w:rPr>
        <w:t>, 2010) and people who depend on groundwater for water supply (</w:t>
      </w:r>
      <w:proofErr w:type="spellStart"/>
      <w:r w:rsidRPr="00FB2DE9">
        <w:rPr>
          <w:rFonts w:ascii="Arial" w:eastAsiaTheme="minorHAnsi" w:hAnsi="Arial" w:cs="Arial"/>
        </w:rPr>
        <w:t>Saetta</w:t>
      </w:r>
      <w:proofErr w:type="spellEnd"/>
      <w:r w:rsidRPr="00FB2DE9">
        <w:rPr>
          <w:rFonts w:ascii="Arial" w:eastAsiaTheme="minorHAnsi" w:hAnsi="Arial" w:cs="Arial"/>
        </w:rPr>
        <w:t xml:space="preserve">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7777777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low human density, high level of protected lands, and diverse assemblages of plant and animals of conservation, recreational and commercial value.  However, the Big Bend region is changing (Seavey et al. 2011; </w:t>
      </w:r>
      <w:proofErr w:type="spellStart"/>
      <w:r w:rsidRPr="00FB2DE9">
        <w:rPr>
          <w:rFonts w:ascii="Arial" w:eastAsiaTheme="minorHAnsi" w:hAnsi="Arial" w:cs="Arial"/>
        </w:rPr>
        <w:t>Geselbracht</w:t>
      </w:r>
      <w:proofErr w:type="spellEnd"/>
      <w:r w:rsidRPr="00FB2DE9">
        <w:rPr>
          <w:rFonts w:ascii="Arial" w:eastAsiaTheme="minorHAnsi" w:hAnsi="Arial" w:cs="Arial"/>
        </w:rPr>
        <w:t xml:space="preserve">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w:t>
      </w:r>
      <w:proofErr w:type="spellStart"/>
      <w:r w:rsidRPr="00FB2DE9">
        <w:rPr>
          <w:rFonts w:ascii="Arial" w:eastAsia="Times New Roman" w:hAnsi="Arial" w:cs="Arial"/>
          <w:spacing w:val="2"/>
        </w:rPr>
        <w:t>Cazenave</w:t>
      </w:r>
      <w:proofErr w:type="spellEnd"/>
      <w:r w:rsidRPr="00FB2DE9">
        <w:rPr>
          <w:rFonts w:ascii="Arial" w:eastAsia="Times New Roman" w:hAnsi="Arial" w:cs="Arial"/>
          <w:spacing w:val="2"/>
        </w:rPr>
        <w:t xml:space="preserve"> and </w:t>
      </w:r>
      <w:proofErr w:type="spellStart"/>
      <w:r w:rsidRPr="00FB2DE9">
        <w:rPr>
          <w:rFonts w:ascii="Arial" w:eastAsia="Times New Roman" w:hAnsi="Arial" w:cs="Arial"/>
          <w:spacing w:val="2"/>
        </w:rPr>
        <w:t>Cozannet</w:t>
      </w:r>
      <w:proofErr w:type="spellEnd"/>
      <w:r w:rsidRPr="00FB2DE9">
        <w:rPr>
          <w:rFonts w:ascii="Arial" w:eastAsia="Times New Roman" w:hAnsi="Arial" w:cs="Arial"/>
          <w:spacing w:val="2"/>
        </w:rPr>
        <w:t xml:space="preserve">,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w:t>
      </w:r>
      <w:proofErr w:type="spellStart"/>
      <w:r w:rsidRPr="00FB2DE9">
        <w:rPr>
          <w:rFonts w:ascii="Arial" w:eastAsia="Times New Roman" w:hAnsi="Arial" w:cs="Arial"/>
          <w:spacing w:val="2"/>
        </w:rPr>
        <w:t>Megonigal</w:t>
      </w:r>
      <w:proofErr w:type="spellEnd"/>
      <w:r w:rsidRPr="00FB2DE9">
        <w:rPr>
          <w:rFonts w:ascii="Arial" w:eastAsia="Times New Roman" w:hAnsi="Arial" w:cs="Arial"/>
          <w:spacing w:val="2"/>
        </w:rPr>
        <w:t xml:space="preserve">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proofErr w:type="spellStart"/>
      <w:r w:rsidRPr="00FB2DE9">
        <w:rPr>
          <w:rFonts w:ascii="Arial" w:eastAsia="Times New Roman" w:hAnsi="Arial" w:cs="Arial"/>
          <w:spacing w:val="2"/>
        </w:rPr>
        <w:t>Lammens</w:t>
      </w:r>
      <w:proofErr w:type="spellEnd"/>
      <w:r w:rsidRPr="00FB2DE9">
        <w:rPr>
          <w:rFonts w:ascii="Arial" w:eastAsia="Times New Roman" w:hAnsi="Arial" w:cs="Arial"/>
          <w:spacing w:val="2"/>
        </w:rPr>
        <w:t xml:space="preserve"> et al., 2011). </w:t>
      </w:r>
    </w:p>
    <w:p w14:paraId="2C954E00" w14:textId="1CC97207"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w:t>
      </w:r>
      <w:proofErr w:type="spellStart"/>
      <w:r w:rsidRPr="00FB2DE9">
        <w:rPr>
          <w:rFonts w:ascii="Arial" w:hAnsi="Arial" w:cs="Arial"/>
        </w:rPr>
        <w:t>Megonigal</w:t>
      </w:r>
      <w:proofErr w:type="spellEnd"/>
      <w:r w:rsidRPr="00FB2DE9">
        <w:rPr>
          <w:rFonts w:ascii="Arial" w:hAnsi="Arial" w:cs="Arial"/>
        </w:rPr>
        <w:t>,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causal observations of tidal flooding and changes occurring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41D03FF4" w14:textId="77283FD2" w:rsidR="00FB2DE9" w:rsidRPr="00FB2DE9" w:rsidRDefault="00EF1E7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17B51D77">
            <wp:simplePos x="0" y="0"/>
            <wp:positionH relativeFrom="margin">
              <wp:align>center</wp:align>
            </wp:positionH>
            <wp:positionV relativeFrom="paragraph">
              <wp:posOffset>230</wp:posOffset>
            </wp:positionV>
            <wp:extent cx="3763010" cy="2628900"/>
            <wp:effectExtent l="0" t="0" r="889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301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DE9" w:rsidRPr="00FB2DE9">
        <w:rPr>
          <w:rFonts w:ascii="Arial" w:hAnsi="Arial" w:cs="Arial"/>
        </w:rPr>
        <w:t>Figure 1 - Average mean higher high water (MHHW) at Cedar Key, FL, 1941–2011, showing approximately 0.2 m increase over 70 years (NOAA </w:t>
      </w:r>
      <w:hyperlink r:id="rId22" w:anchor="CR43" w:tooltip="View reference" w:history="1">
        <w:r w:rsidR="00FB2DE9" w:rsidRPr="00FB2DE9">
          <w:rPr>
            <w:rFonts w:ascii="Arial" w:hAnsi="Arial" w:cs="Arial"/>
          </w:rPr>
          <w:t>2014</w:t>
        </w:r>
      </w:hyperlink>
      <w:r w:rsidR="00FB2DE9"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49496CA4"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p>
    <w:p w14:paraId="1E68FE27" w14:textId="77777777" w:rsidR="00EF1E79" w:rsidRDefault="00EF1E79" w:rsidP="00FB2DE9">
      <w:pPr>
        <w:pStyle w:val="para"/>
        <w:shd w:val="clear" w:color="auto" w:fill="FCFCFC"/>
        <w:spacing w:before="240" w:beforeAutospacing="0" w:after="288" w:afterAutospacing="0" w:line="360" w:lineRule="auto"/>
        <w:rPr>
          <w:rFonts w:ascii="Arial" w:hAnsi="Arial" w:cs="Arial"/>
          <w:i/>
          <w:iCs/>
          <w:spacing w:val="2"/>
        </w:rPr>
      </w:pPr>
    </w:p>
    <w:p w14:paraId="20D9BCE7" w14:textId="2174F1B2"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1211F471"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w:t>
      </w:r>
      <w:proofErr w:type="spellStart"/>
      <w:r w:rsidRPr="00FB2DE9">
        <w:rPr>
          <w:rFonts w:ascii="Arial" w:hAnsi="Arial" w:cs="Arial"/>
        </w:rPr>
        <w:t>Komar</w:t>
      </w:r>
      <w:proofErr w:type="spellEnd"/>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w:t>
      </w:r>
      <w:proofErr w:type="spellStart"/>
      <w:r w:rsidRPr="00FB2DE9">
        <w:rPr>
          <w:rFonts w:ascii="Arial" w:hAnsi="Arial" w:cs="Arial"/>
        </w:rPr>
        <w:t>Goodbred</w:t>
      </w:r>
      <w:proofErr w:type="spellEnd"/>
      <w:r w:rsidRPr="00FB2DE9">
        <w:rPr>
          <w:rFonts w:ascii="Arial" w:hAnsi="Arial" w:cs="Arial"/>
        </w:rPr>
        <w:t xml:space="preserve"> and Hine, 1995). 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w:t>
      </w:r>
      <w:proofErr w:type="spellStart"/>
      <w:r w:rsidRPr="00FB2DE9">
        <w:rPr>
          <w:rFonts w:ascii="Arial" w:hAnsi="Arial" w:cs="Arial"/>
        </w:rPr>
        <w:t>Goodbred</w:t>
      </w:r>
      <w:proofErr w:type="spellEnd"/>
      <w:r w:rsidRPr="00FB2DE9">
        <w:rPr>
          <w:rFonts w:ascii="Arial" w:hAnsi="Arial" w:cs="Arial"/>
        </w:rPr>
        <w:t xml:space="preserve">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6944" behindDoc="0" locked="0" layoutInCell="1" allowOverlap="1" wp14:anchorId="0B2C3A87" wp14:editId="742D6DF7">
            <wp:simplePos x="0" y="0"/>
            <wp:positionH relativeFrom="margin">
              <wp:posOffset>259129</wp:posOffset>
            </wp:positionH>
            <wp:positionV relativeFrom="paragraph">
              <wp:posOffset>294</wp:posOffset>
            </wp:positionV>
            <wp:extent cx="4844415" cy="3217545"/>
            <wp:effectExtent l="0" t="0" r="0"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441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11FAFED4" w14:textId="43ACB21A" w:rsidR="00FB2DE9" w:rsidRPr="00FB2DE9" w:rsidRDefault="00965FA5" w:rsidP="00965FA5">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w:t>
      </w:r>
      <w:proofErr w:type="spellStart"/>
      <w:r w:rsidRPr="00FB2DE9">
        <w:rPr>
          <w:rFonts w:ascii="Arial" w:hAnsi="Arial" w:cs="Arial"/>
        </w:rPr>
        <w:t>Geselbracht</w:t>
      </w:r>
      <w:proofErr w:type="spellEnd"/>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Human development on coastlines can also accelerate coastal erosion by creating a fixed position of the shoreline and stabilizing inlets (</w:t>
      </w:r>
      <w:proofErr w:type="spellStart"/>
      <w:r w:rsidRPr="00FB2DE9">
        <w:rPr>
          <w:rFonts w:ascii="Arial" w:hAnsi="Arial" w:cs="Arial"/>
        </w:rPr>
        <w:t>Finkl</w:t>
      </w:r>
      <w:proofErr w:type="spellEnd"/>
      <w:r w:rsidRPr="00FB2DE9">
        <w:rPr>
          <w:rFonts w:ascii="Arial" w:hAnsi="Arial" w:cs="Arial"/>
        </w:rPr>
        <w:t xml:space="preserve"> and </w:t>
      </w:r>
      <w:proofErr w:type="spellStart"/>
      <w:r w:rsidRPr="00FB2DE9">
        <w:rPr>
          <w:rFonts w:ascii="Arial" w:hAnsi="Arial" w:cs="Arial"/>
        </w:rPr>
        <w:t>Charlier</w:t>
      </w:r>
      <w:proofErr w:type="spellEnd"/>
      <w:r w:rsidRPr="00FB2DE9">
        <w:rPr>
          <w:rFonts w:ascii="Arial" w:hAnsi="Arial" w:cs="Arial"/>
        </w:rPr>
        <w:t>, 2003). Species biodiversity is threatened by the increase of urbanization and environmental coastal degradation as well (</w:t>
      </w:r>
      <w:proofErr w:type="spellStart"/>
      <w:r w:rsidRPr="00FB2DE9">
        <w:rPr>
          <w:rFonts w:ascii="Arial" w:hAnsi="Arial" w:cs="Arial"/>
        </w:rPr>
        <w:t>Finkl</w:t>
      </w:r>
      <w:proofErr w:type="spellEnd"/>
      <w:r w:rsidRPr="00FB2DE9">
        <w:rPr>
          <w:rFonts w:ascii="Arial" w:hAnsi="Arial" w:cs="Arial"/>
        </w:rPr>
        <w:t xml:space="preserve"> and </w:t>
      </w:r>
      <w:proofErr w:type="spellStart"/>
      <w:r w:rsidRPr="00FB2DE9">
        <w:rPr>
          <w:rFonts w:ascii="Arial" w:hAnsi="Arial" w:cs="Arial"/>
        </w:rPr>
        <w:t>Charlier</w:t>
      </w:r>
      <w:proofErr w:type="spellEnd"/>
      <w:r w:rsidRPr="00FB2DE9">
        <w:rPr>
          <w:rFonts w:ascii="Arial" w:hAnsi="Arial" w:cs="Arial"/>
        </w:rPr>
        <w:t>, 2003).  Czech et al. (2000) documents urbanization as the highest cause for species endangerment. For example, piping plover (</w:t>
      </w:r>
      <w:proofErr w:type="spellStart"/>
      <w:r w:rsidRPr="00FB2DE9">
        <w:rPr>
          <w:rFonts w:ascii="Arial" w:hAnsi="Arial" w:cs="Arial"/>
          <w:i/>
          <w:iCs/>
        </w:rPr>
        <w:t>Charadrius</w:t>
      </w:r>
      <w:proofErr w:type="spellEnd"/>
      <w:r w:rsidRPr="00FB2DE9">
        <w:rPr>
          <w:rFonts w:ascii="Arial" w:hAnsi="Arial" w:cs="Arial"/>
          <w:i/>
          <w:iCs/>
        </w:rPr>
        <w:t xml:space="preserve"> </w:t>
      </w:r>
      <w:proofErr w:type="spellStart"/>
      <w:r w:rsidRPr="00FB2DE9">
        <w:rPr>
          <w:rFonts w:ascii="Arial" w:hAnsi="Arial" w:cs="Arial"/>
          <w:i/>
          <w:iCs/>
        </w:rPr>
        <w:t>melodus</w:t>
      </w:r>
      <w:proofErr w:type="spellEnd"/>
      <w:r>
        <w:rPr>
          <w:rFonts w:ascii="Arial" w:hAnsi="Arial" w:cs="Arial"/>
        </w:rPr>
        <w:t>, a shore bird</w:t>
      </w:r>
      <w:r w:rsidRPr="00FB2DE9">
        <w:rPr>
          <w:rFonts w:ascii="Arial" w:hAnsi="Arial" w:cs="Arial"/>
        </w:rPr>
        <w:t xml:space="preserve"> is known to forage and nest in areas of low human population (Thomas, </w:t>
      </w:r>
      <w:proofErr w:type="spellStart"/>
      <w:r w:rsidRPr="00FB2DE9">
        <w:rPr>
          <w:rFonts w:ascii="Arial" w:hAnsi="Arial" w:cs="Arial"/>
        </w:rPr>
        <w:t>Kvitek</w:t>
      </w:r>
      <w:proofErr w:type="spellEnd"/>
      <w:r w:rsidRPr="00FB2DE9">
        <w:rPr>
          <w:rFonts w:ascii="Arial" w:hAnsi="Arial" w:cs="Arial"/>
        </w:rPr>
        <w:t xml:space="preserve">, and </w:t>
      </w:r>
      <w:proofErr w:type="spellStart"/>
      <w:r w:rsidRPr="00FB2DE9">
        <w:rPr>
          <w:rFonts w:ascii="Arial" w:hAnsi="Arial" w:cs="Arial"/>
        </w:rPr>
        <w:t>Bretz</w:t>
      </w:r>
      <w:proofErr w:type="spellEnd"/>
      <w:r w:rsidRPr="00FB2DE9">
        <w:rPr>
          <w:rFonts w:ascii="Arial" w:hAnsi="Arial" w:cs="Arial"/>
        </w:rPr>
        <w:t xml:space="preserve">, </w:t>
      </w:r>
      <w:r w:rsidRPr="00FB2DE9">
        <w:rPr>
          <w:rFonts w:ascii="Arial" w:hAnsi="Arial" w:cs="Arial"/>
        </w:rPr>
        <w:lastRenderedPageBreak/>
        <w:t>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(McKinney, </w:t>
      </w:r>
      <w:r w:rsidRPr="00FB2DE9">
        <w:rPr>
          <w:rFonts w:ascii="Arial" w:hAnsi="Arial" w:cs="Arial"/>
          <w:noProof/>
        </w:rPr>
        <w:drawing>
          <wp:anchor distT="0" distB="0" distL="114300" distR="114300" simplePos="0" relativeHeight="251667968" behindDoc="0" locked="0" layoutInCell="1" allowOverlap="1" wp14:anchorId="0CAEB7B7" wp14:editId="53395CC5">
            <wp:simplePos x="0" y="0"/>
            <wp:positionH relativeFrom="margin">
              <wp:align>center</wp:align>
            </wp:positionH>
            <wp:positionV relativeFrom="paragraph">
              <wp:posOffset>1212111</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2006) and accelerated shoreline erosion.</w:t>
      </w:r>
      <w:bookmarkEnd w:id="21"/>
    </w:p>
    <w:p w14:paraId="650EBDD1" w14:textId="08B5CBE6" w:rsidR="00FB2DE9" w:rsidRPr="00FB2DE9" w:rsidRDefault="00FB2DE9" w:rsidP="00FB2DE9">
      <w:pPr>
        <w:spacing w:line="360" w:lineRule="auto"/>
        <w:rPr>
          <w:rFonts w:ascii="Arial" w:hAnsi="Arial" w:cs="Arial"/>
        </w:rPr>
      </w:pPr>
    </w:p>
    <w:p w14:paraId="0194DA9D" w14:textId="77777777"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5"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46936ACA" w14:textId="77777777" w:rsidR="00FB2DE9" w:rsidRPr="00FB2DE9" w:rsidRDefault="00FB2DE9" w:rsidP="00FB2DE9">
      <w:pPr>
        <w:spacing w:line="360" w:lineRule="auto"/>
        <w:rPr>
          <w:rFonts w:ascii="Arial" w:hAnsi="Arial" w:cs="Arial"/>
        </w:rPr>
      </w:pPr>
    </w:p>
    <w:p w14:paraId="2074923D" w14:textId="77777777" w:rsidR="00FB2DE9" w:rsidRPr="00FB2DE9" w:rsidRDefault="00FB2DE9" w:rsidP="00FB2DE9">
      <w:pPr>
        <w:spacing w:line="360" w:lineRule="auto"/>
        <w:rPr>
          <w:rFonts w:ascii="Arial" w:hAnsi="Arial" w:cs="Arial"/>
          <w:i/>
          <w:iCs/>
        </w:rPr>
      </w:pPr>
      <w:bookmarkStart w:id="23" w:name="_Hlk15746829"/>
      <w:r w:rsidRPr="00FB2DE9">
        <w:rPr>
          <w:rFonts w:ascii="Arial" w:hAnsi="Arial" w:cs="Arial"/>
          <w:i/>
          <w:iCs/>
        </w:rPr>
        <w:t>Reasons for research effort</w:t>
      </w:r>
    </w:p>
    <w:p w14:paraId="026664E3" w14:textId="5C040A1E"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lower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w:t>
      </w:r>
      <w:proofErr w:type="spellStart"/>
      <w:r w:rsidRPr="00FB2DE9">
        <w:rPr>
          <w:rFonts w:ascii="Arial" w:hAnsi="Arial" w:cs="Arial"/>
        </w:rPr>
        <w:t>Geselbracht</w:t>
      </w:r>
      <w:proofErr w:type="spellEnd"/>
      <w:r w:rsidRPr="00FB2DE9">
        <w:rPr>
          <w:rFonts w:ascii="Arial" w:hAnsi="Arial" w:cs="Arial"/>
        </w:rPr>
        <w:t xml:space="preserve">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w:t>
      </w:r>
      <w:r>
        <w:rPr>
          <w:rFonts w:ascii="Arial" w:hAnsi="Arial" w:cs="Arial"/>
        </w:rPr>
        <w:lastRenderedPageBreak/>
        <w:t>because of the low population density resulting in fewer people observing these 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4C42D726"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w:t>
      </w:r>
      <w:proofErr w:type="spellStart"/>
      <w:r w:rsidRPr="002544DC">
        <w:rPr>
          <w:rFonts w:ascii="Arial" w:hAnsi="Arial" w:cs="Arial"/>
        </w:rPr>
        <w:t>Sassaman</w:t>
      </w:r>
      <w:proofErr w:type="spellEnd"/>
      <w:r w:rsidRPr="002544DC">
        <w:rPr>
          <w:rFonts w:ascii="Arial" w:hAnsi="Arial" w:cs="Arial"/>
        </w:rPr>
        <w:t xml:space="preserve"> et al.</w:t>
      </w:r>
      <w:r>
        <w:rPr>
          <w:rFonts w:ascii="Arial" w:hAnsi="Arial" w:cs="Arial"/>
        </w:rPr>
        <w:t>,</w:t>
      </w:r>
      <w:r w:rsidRPr="002544DC">
        <w:rPr>
          <w:rFonts w:ascii="Arial" w:hAnsi="Arial" w:cs="Arial"/>
        </w:rPr>
        <w:t xml:space="preserve"> 2017) also shows that Derrick Key was likely occupied during the final centuries of the first millennium AD at a time when sea levels were </w:t>
      </w:r>
      <w:r>
        <w:rPr>
          <w:rFonts w:ascii="Arial" w:hAnsi="Arial" w:cs="Arial"/>
        </w:rPr>
        <w:t xml:space="preserve">the elevation about mean sea level was approximately 2 meters.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4DA0AA37"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Pr="00FB2DE9">
        <w:rPr>
          <w:rFonts w:cs="Arial"/>
        </w:rPr>
        <w:t>, 201</w:t>
      </w:r>
      <w:r w:rsidR="00F36B05">
        <w:rPr>
          <w:rFonts w:cs="Arial"/>
        </w:rPr>
        <w:t>6</w:t>
      </w:r>
      <w:r w:rsidRPr="00FB2DE9">
        <w:rPr>
          <w:rFonts w:cs="Arial"/>
        </w:rPr>
        <w:t>).</w:t>
      </w:r>
    </w:p>
    <w:p w14:paraId="2F3B0918" w14:textId="683D5E38"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long-term </w:t>
      </w:r>
      <w:r w:rsidR="004B12DD">
        <w:rPr>
          <w:rFonts w:ascii="Arial" w:hAnsi="Arial" w:cs="Arial"/>
        </w:rPr>
        <w:t xml:space="preserve">modern </w:t>
      </w:r>
      <w:r w:rsidRPr="00FB2DE9">
        <w:rPr>
          <w:rFonts w:ascii="Arial" w:hAnsi="Arial" w:cs="Arial"/>
        </w:rPr>
        <w:t xml:space="preserve">perspective on how resources are or are not changing. </w:t>
      </w:r>
      <w:r w:rsidRPr="00FB2DE9">
        <w:rPr>
          <w:rFonts w:ascii="Arial" w:hAnsi="Arial" w:cs="Arial"/>
        </w:rPr>
        <w:lastRenderedPageBreak/>
        <w:t xml:space="preserve">Examining these 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50A62F45">
            <wp:simplePos x="0" y="0"/>
            <wp:positionH relativeFrom="margin">
              <wp:align>center</wp:align>
            </wp:positionH>
            <wp:positionV relativeFrom="paragraph">
              <wp:posOffset>269240</wp:posOffset>
            </wp:positionV>
            <wp:extent cx="4119245" cy="2914650"/>
            <wp:effectExtent l="19050" t="19050" r="1460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9245" cy="291465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77777777" w:rsidR="00FB2DE9" w:rsidRPr="00FB2DE9" w:rsidRDefault="00FB2DE9" w:rsidP="00FB2DE9">
      <w:pPr>
        <w:spacing w:line="360" w:lineRule="auto"/>
        <w:rPr>
          <w:rFonts w:ascii="Arial" w:hAnsi="Arial" w:cs="Arial"/>
        </w:rPr>
      </w:pPr>
    </w:p>
    <w:p w14:paraId="0B0632AE" w14:textId="77777777" w:rsidR="00FB2DE9" w:rsidRPr="00FB2DE9" w:rsidRDefault="00FB2DE9" w:rsidP="00FB2DE9">
      <w:pPr>
        <w:spacing w:line="360" w:lineRule="auto"/>
        <w:rPr>
          <w:rFonts w:ascii="Arial" w:hAnsi="Arial" w:cs="Arial"/>
        </w:rPr>
      </w:pPr>
      <w:r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77777777" w:rsidR="00FB2DE9" w:rsidRPr="00FB2DE9" w:rsidRDefault="00FB2DE9" w:rsidP="00FB2DE9">
      <w:pPr>
        <w:spacing w:line="360" w:lineRule="auto"/>
        <w:rPr>
          <w:rFonts w:ascii="Arial" w:hAnsi="Arial" w:cs="Arial"/>
          <w:b/>
          <w:bCs/>
        </w:rPr>
      </w:pPr>
      <w:r w:rsidRPr="00FB2DE9">
        <w:rPr>
          <w:rFonts w:ascii="Arial" w:hAnsi="Arial" w:cs="Arial"/>
          <w:noProof/>
        </w:rPr>
        <w:drawing>
          <wp:anchor distT="0" distB="0" distL="114300" distR="114300" simplePos="0" relativeHeight="251664896" behindDoc="0" locked="0" layoutInCell="1" allowOverlap="1" wp14:anchorId="12703E24" wp14:editId="66AC1694">
            <wp:simplePos x="0" y="0"/>
            <wp:positionH relativeFrom="margin">
              <wp:align>center</wp:align>
            </wp:positionH>
            <wp:positionV relativeFrom="paragraph">
              <wp:posOffset>19050</wp:posOffset>
            </wp:positionV>
            <wp:extent cx="3563620" cy="2518410"/>
            <wp:effectExtent l="19050" t="19050" r="17780" b="152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3620" cy="25184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I will follow USGS Data Management standards that characterize best practices for processing spatial data.  I will use open formats such as </w:t>
      </w:r>
      <w:proofErr w:type="spellStart"/>
      <w:r w:rsidRPr="00FB2DE9">
        <w:rPr>
          <w:rFonts w:ascii="Arial" w:hAnsi="Arial" w:cs="Arial"/>
        </w:rPr>
        <w:t>geoTIFF</w:t>
      </w:r>
      <w:proofErr w:type="spellEnd"/>
      <w:r w:rsidRPr="00FB2DE9">
        <w:rPr>
          <w:rFonts w:ascii="Arial" w:hAnsi="Arial" w:cs="Arial"/>
        </w:rPr>
        <w:t xml:space="preserve">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0" w:history="1">
        <w:r w:rsidRPr="00FB2DE9">
          <w:rPr>
            <w:rFonts w:ascii="Arial" w:hAnsi="Arial" w:cs="Arial"/>
          </w:rPr>
          <w:t>https://www.sciencebase.gov/catalog/item/50ed7aa4e4b0438b00db080a</w:t>
        </w:r>
      </w:hyperlink>
      <w:r w:rsidRPr="00FB2DE9">
        <w:rPr>
          <w:rFonts w:ascii="Arial" w:hAnsi="Arial" w:cs="Arial"/>
        </w:rPr>
        <w:t xml:space="preserve">) and USDA </w:t>
      </w:r>
      <w:proofErr w:type="spellStart"/>
      <w:r w:rsidRPr="00FB2DE9">
        <w:rPr>
          <w:rFonts w:ascii="Arial" w:hAnsi="Arial" w:cs="Arial"/>
        </w:rPr>
        <w:t>Metavist</w:t>
      </w:r>
      <w:proofErr w:type="spellEnd"/>
      <w:r w:rsidRPr="00FB2DE9">
        <w:rPr>
          <w:rFonts w:ascii="Arial" w:hAnsi="Arial" w:cs="Arial"/>
        </w:rPr>
        <w:t xml:space="preserve">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I will store all data records on the UF server via the “</w:t>
      </w:r>
      <w:proofErr w:type="spellStart"/>
      <w:r w:rsidRPr="00FB2DE9">
        <w:rPr>
          <w:rFonts w:ascii="Arial" w:hAnsi="Arial" w:cs="Arial"/>
        </w:rPr>
        <w:t>T:Drive</w:t>
      </w:r>
      <w:proofErr w:type="spellEnd"/>
      <w:r w:rsidRPr="00FB2DE9">
        <w:rPr>
          <w:rFonts w:ascii="Arial" w:hAnsi="Arial" w:cs="Arial"/>
        </w:rPr>
        <w:t xml:space="preser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I will document methods which will reduce potential geospatial analysis error and increase the likelihood of these analyses being reproducible.  This will include</w:t>
      </w:r>
      <w:r w:rsidRPr="00EF1547">
        <w:rPr>
          <w:rFonts w:ascii="Arial" w:hAnsi="Arial" w:cs="Arial"/>
        </w:rPr>
        <w:t xml:space="preserv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7B7DD712" w14:textId="77777777" w:rsidR="00235B8D" w:rsidRDefault="00235B8D" w:rsidP="00FB2DE9">
      <w:pPr>
        <w:spacing w:line="360" w:lineRule="auto"/>
        <w:rPr>
          <w:rFonts w:ascii="Arial" w:hAnsi="Arial" w:cs="Arial"/>
        </w:rPr>
      </w:pPr>
    </w:p>
    <w:p w14:paraId="08F77930" w14:textId="77777777"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1"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2B2FF70F"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Google Earth Engine - https://earthengine.google.com/</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George A. </w:t>
      </w:r>
      <w:proofErr w:type="spellStart"/>
      <w:r w:rsidRPr="00FB2DE9">
        <w:rPr>
          <w:rFonts w:ascii="Arial" w:hAnsi="Arial" w:cs="Arial"/>
          <w:color w:val="000000" w:themeColor="text1"/>
          <w:sz w:val="24"/>
          <w:szCs w:val="24"/>
        </w:rPr>
        <w:t>Smathers</w:t>
      </w:r>
      <w:proofErr w:type="spellEnd"/>
      <w:r w:rsidRPr="00FB2DE9">
        <w:rPr>
          <w:rFonts w:ascii="Arial" w:hAnsi="Arial" w:cs="Arial"/>
          <w:color w:val="000000" w:themeColor="text1"/>
          <w:sz w:val="24"/>
          <w:szCs w:val="24"/>
        </w:rPr>
        <w:t xml:space="preserve">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I will examine shoreline change indicators including high water line (HWL) and vegetation change (</w:t>
      </w:r>
      <w:proofErr w:type="spellStart"/>
      <w:r w:rsidRPr="00FB2DE9">
        <w:rPr>
          <w:rFonts w:ascii="Arial" w:eastAsiaTheme="minorHAnsi" w:hAnsi="Arial" w:cs="Arial"/>
        </w:rPr>
        <w:t>Boak</w:t>
      </w:r>
      <w:proofErr w:type="spellEnd"/>
      <w:r w:rsidRPr="00FB2DE9">
        <w:rPr>
          <w:rFonts w:ascii="Arial" w:eastAsiaTheme="minorHAnsi" w:hAnsi="Arial" w:cs="Arial"/>
        </w:rPr>
        <w:t xml:space="preserve">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w:t>
      </w:r>
      <w:r w:rsidRPr="00FB2DE9">
        <w:rPr>
          <w:rFonts w:ascii="Arial" w:eastAsiaTheme="minorHAnsi" w:hAnsi="Arial" w:cs="Arial"/>
        </w:rPr>
        <w:lastRenderedPageBreak/>
        <w:t>The HWL can normally be established through aerial photographs, which could be obvious to spot a debris line or a static shoreline parallel line (Crowell, Leatherman, and 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2540781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5926413B" w14:textId="77777777" w:rsidR="00FB2DE9" w:rsidRPr="00FB2DE9" w:rsidRDefault="00FB2DE9" w:rsidP="0011663A">
      <w:pPr>
        <w:pStyle w:val="para"/>
        <w:shd w:val="clear" w:color="auto" w:fill="FCFCFC"/>
        <w:spacing w:before="240" w:beforeAutospacing="0" w:after="288" w:afterAutospacing="0" w:line="360" w:lineRule="auto"/>
        <w:ind w:left="2160" w:firstLine="720"/>
        <w:rPr>
          <w:rFonts w:ascii="Arial" w:eastAsiaTheme="minorHAnsi" w:hAnsi="Arial" w:cs="Arial"/>
        </w:rPr>
      </w:pPr>
      <w:r w:rsidRPr="00FB2DE9">
        <w:rPr>
          <w:rFonts w:ascii="Arial" w:eastAsiaTheme="minorHAnsi" w:hAnsi="Arial" w:cs="Arial"/>
        </w:rPr>
        <w:t>NDVI= NIR- VIS/ NIR + VIS</w:t>
      </w:r>
    </w:p>
    <w:p w14:paraId="6A15F921" w14:textId="2B994DDE" w:rsidR="00FB2DE9" w:rsidRPr="00FB2DE9"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 xml:space="preserve">where NIR and VIS represent surface </w:t>
      </w:r>
      <w:proofErr w:type="spellStart"/>
      <w:r w:rsidRPr="00672946">
        <w:rPr>
          <w:rFonts w:ascii="Arial" w:eastAsiaTheme="minorHAnsi" w:hAnsi="Arial" w:cs="Arial"/>
        </w:rPr>
        <w:t>reflectances</w:t>
      </w:r>
      <w:proofErr w:type="spellEnd"/>
      <w:r w:rsidRPr="00672946">
        <w:rPr>
          <w:rFonts w:ascii="Arial" w:eastAsiaTheme="minorHAnsi" w:hAnsi="Arial" w:cs="Arial"/>
        </w:rPr>
        <w:t xml:space="preserve"> averaged over ranges of wavelength in the visible and near infrared regions of a spectrum (Carlson and Ripley, 1997). Changes in NDVI values can be calculated pixel by pixel in satellite imagery. Difference </w:t>
      </w:r>
      <w:r w:rsidRPr="00672946">
        <w:rPr>
          <w:rFonts w:ascii="Arial" w:eastAsiaTheme="minorHAnsi" w:hAnsi="Arial" w:cs="Arial"/>
        </w:rPr>
        <w:lastRenderedPageBreak/>
        <w:t xml:space="preserve">exceeding 0.1 NDVI are considered significant (Raabe and Stumpf, 1997). </w:t>
      </w:r>
      <w:r w:rsidR="0011663A" w:rsidRPr="0011663A">
        <w:rPr>
          <w:rFonts w:ascii="Arial" w:eastAsiaTheme="minorHAnsi" w:hAnsi="Arial" w:cs="Arial"/>
        </w:rPr>
        <w:t>Software such as ArcMap can be used to calculate NDVI</w:t>
      </w:r>
      <w:r w:rsidRPr="00FB2DE9">
        <w:rPr>
          <w:rFonts w:ascii="Arial" w:hAnsi="Arial" w:cs="Arial"/>
          <w:noProof/>
        </w:rPr>
        <w:drawing>
          <wp:anchor distT="0" distB="0" distL="114300" distR="114300" simplePos="0" relativeHeight="251672064" behindDoc="0" locked="0" layoutInCell="1" allowOverlap="1" wp14:anchorId="39064C73" wp14:editId="51B897E5">
            <wp:simplePos x="0" y="0"/>
            <wp:positionH relativeFrom="margin">
              <wp:align>center</wp:align>
            </wp:positionH>
            <wp:positionV relativeFrom="paragraph">
              <wp:posOffset>979137</wp:posOffset>
            </wp:positionV>
            <wp:extent cx="3332480" cy="3710305"/>
            <wp:effectExtent l="0" t="0" r="1270" b="4445"/>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2480" cy="371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63A">
        <w:rPr>
          <w:rFonts w:ascii="Arial" w:eastAsiaTheme="minorHAnsi" w:hAnsi="Arial" w:cs="Arial"/>
        </w:rPr>
        <w:t xml:space="preserve">. </w:t>
      </w:r>
    </w:p>
    <w:p w14:paraId="680352A8"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p>
    <w:p w14:paraId="6286F7E8" w14:textId="36314D0C"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77777777"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6819C1BF"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w:t>
      </w:r>
      <w:proofErr w:type="spellStart"/>
      <w:r w:rsidRPr="00FB2DE9">
        <w:rPr>
          <w:rFonts w:ascii="Arial" w:hAnsi="Arial" w:cs="Arial"/>
        </w:rPr>
        <w:t>Steinhatchee</w:t>
      </w:r>
      <w:proofErr w:type="spellEnd"/>
      <w:r w:rsidRPr="00FB2DE9">
        <w:rPr>
          <w:rFonts w:ascii="Arial" w:hAnsi="Arial" w:cs="Arial"/>
        </w:rPr>
        <w:t xml:space="preserve"> River, with &gt;0.1 NVDI decrease or increase </w:t>
      </w:r>
      <w:r w:rsidRPr="00FB2DE9">
        <w:rPr>
          <w:rFonts w:ascii="Arial" w:eastAsiaTheme="minorHAnsi" w:hAnsi="Arial" w:cs="Arial"/>
        </w:rPr>
        <w:t>(Raabe and Stumpf, 1997)</w:t>
      </w:r>
    </w:p>
    <w:p w14:paraId="3F2A9CBF" w14:textId="77777777" w:rsidR="00FB2DE9" w:rsidRPr="00FB2DE9" w:rsidRDefault="00FB2DE9" w:rsidP="00FB2DE9">
      <w:pPr>
        <w:spacing w:line="360" w:lineRule="auto"/>
        <w:rPr>
          <w:rFonts w:ascii="Arial" w:hAnsi="Arial" w:cs="Arial"/>
          <w:i/>
          <w:iCs/>
        </w:rPr>
      </w:pPr>
    </w:p>
    <w:p w14:paraId="60CC157D" w14:textId="77777777" w:rsidR="00FB2DE9" w:rsidRPr="00FB2DE9" w:rsidRDefault="00FB2DE9" w:rsidP="00FB2DE9">
      <w:pPr>
        <w:spacing w:line="360" w:lineRule="auto"/>
        <w:rPr>
          <w:rFonts w:ascii="Arial" w:hAnsi="Arial" w:cs="Arial"/>
          <w:i/>
          <w:iCs/>
        </w:rPr>
      </w:pPr>
      <w:r w:rsidRPr="00FB2DE9">
        <w:rPr>
          <w:rFonts w:ascii="Arial" w:hAnsi="Arial" w:cs="Arial"/>
          <w:i/>
          <w:iCs/>
        </w:rPr>
        <w:t>Preliminary research methods</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4"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5"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619E5583" w14:textId="77777777"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12437A68" w14:textId="77777777" w:rsidR="00FB2DE9" w:rsidRPr="00FB2DE9" w:rsidRDefault="00FB2DE9" w:rsidP="00FB2DE9">
      <w:pPr>
        <w:spacing w:line="360" w:lineRule="auto"/>
        <w:rPr>
          <w:rFonts w:ascii="Arial" w:hAnsi="Arial" w:cs="Arial"/>
        </w:rPr>
      </w:pP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7. In each shapefile’s Attribute Table, created a new table for “area”. </w:t>
      </w:r>
    </w:p>
    <w:p w14:paraId="37B09421" w14:textId="59219DCE" w:rsidR="00FB2DE9" w:rsidRPr="00FB2DE9" w:rsidRDefault="00C01808" w:rsidP="00FB2DE9">
      <w:pPr>
        <w:spacing w:line="360" w:lineRule="auto"/>
        <w:rPr>
          <w:rFonts w:ascii="Arial" w:hAnsi="Arial" w:cs="Arial"/>
        </w:rPr>
      </w:pPr>
      <w:r w:rsidRPr="00FB2DE9">
        <w:rPr>
          <w:rFonts w:ascii="Arial" w:hAnsi="Arial" w:cs="Arial"/>
          <w:i/>
          <w:iCs/>
          <w:noProof/>
        </w:rPr>
        <w:drawing>
          <wp:anchor distT="0" distB="0" distL="114300" distR="114300" simplePos="0" relativeHeight="251671040" behindDoc="0" locked="0" layoutInCell="1" allowOverlap="1" wp14:anchorId="1FA81AE6" wp14:editId="79AFC02C">
            <wp:simplePos x="0" y="0"/>
            <wp:positionH relativeFrom="margin">
              <wp:align>left</wp:align>
            </wp:positionH>
            <wp:positionV relativeFrom="paragraph">
              <wp:posOffset>645795</wp:posOffset>
            </wp:positionV>
            <wp:extent cx="5688330" cy="4391660"/>
            <wp:effectExtent l="0" t="0" r="762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30" cy="439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61B78978"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47876F49" w14:textId="77777777" w:rsidR="006D42B3" w:rsidRDefault="006D42B3" w:rsidP="006D42B3">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between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 xml:space="preserve">using </w:t>
      </w:r>
      <w:r>
        <w:rPr>
          <w:rFonts w:ascii="Arial" w:hAnsi="Arial" w:cs="Arial"/>
        </w:rPr>
        <w:lastRenderedPageBreak/>
        <w:t>other types of imagery</w:t>
      </w:r>
      <w:r w:rsidRPr="00FB2DE9">
        <w:rPr>
          <w:rFonts w:ascii="Arial" w:hAnsi="Arial" w:cs="Arial"/>
        </w:rPr>
        <w:t xml:space="preserve"> to determine other changes, such as vegetation change and HWL change. </w:t>
      </w:r>
    </w:p>
    <w:p w14:paraId="7230A974" w14:textId="666C5E1B" w:rsidR="00FB2DE9" w:rsidRPr="00FB2DE9" w:rsidRDefault="00FB2DE9" w:rsidP="00C01808">
      <w:pPr>
        <w:spacing w:line="360" w:lineRule="auto"/>
        <w:rPr>
          <w:rFonts w:ascii="Arial" w:hAnsi="Arial" w:cs="Arial"/>
          <w:i/>
          <w:iCs/>
        </w:rPr>
      </w:pPr>
      <w:r w:rsidRPr="00FB2DE9">
        <w:rPr>
          <w:rFonts w:ascii="Arial" w:hAnsi="Arial" w:cs="Arial"/>
          <w:i/>
          <w:iCs/>
        </w:rPr>
        <w:t>Potential errors with digitizing</w:t>
      </w:r>
    </w:p>
    <w:bookmarkEnd w:id="26"/>
    <w:p w14:paraId="067EB472" w14:textId="73602E2E" w:rsidR="00C01808" w:rsidRPr="00C01808" w:rsidRDefault="00B2489C" w:rsidP="00C01808">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712436">
        <w:rPr>
          <w:rFonts w:ascii="Arial" w:hAnsi="Arial" w:cs="Arial"/>
        </w:rPr>
        <w:t>month missing in</w:t>
      </w:r>
      <w:r w:rsidRPr="00B2489C">
        <w:rPr>
          <w:rFonts w:ascii="Arial" w:hAnsi="Arial" w:cs="Arial"/>
        </w:rPr>
        <w:t xml:space="preserve"> the imagery, tidal height of when the imagery was taken (if time is available), and human error in digitizing. To minimize the risk of errors, it is recommended to use multiple images that cover several decades for the analysis (Fisher and Overton, 1994).</w:t>
      </w: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1F9F99AA" w14:textId="77777777" w:rsidR="004D7BCA" w:rsidRPr="00FB2DE9" w:rsidRDefault="004D7BCA" w:rsidP="004D7BCA">
      <w:pPr>
        <w:spacing w:line="360" w:lineRule="auto"/>
        <w:ind w:firstLine="720"/>
        <w:rPr>
          <w:rFonts w:ascii="Arial" w:hAnsi="Arial" w:cs="Arial"/>
        </w:rPr>
      </w:pPr>
      <w:r>
        <w:rPr>
          <w:rFonts w:ascii="Arial" w:hAnsi="Arial" w:cs="Arial"/>
        </w:rPr>
        <w:t xml:space="preserve">I will use the data workflow ideas from Chapter 1 and apply those to the </w:t>
      </w:r>
      <w:proofErr w:type="spellStart"/>
      <w:r>
        <w:rPr>
          <w:rFonts w:ascii="Arial" w:hAnsi="Arial" w:cs="Arial"/>
        </w:rPr>
        <w:t>the</w:t>
      </w:r>
      <w:proofErr w:type="spellEnd"/>
      <w:r>
        <w:rPr>
          <w:rFonts w:ascii="Arial" w:hAnsi="Arial" w:cs="Arial"/>
        </w:rPr>
        <w:t xml:space="preserv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bookmarkStart w:id="27" w:name="_GoBack"/>
      <w:bookmarkEnd w:id="27"/>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4BB95BAC" w:rsidR="00FB2DE9" w:rsidRP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2D0060A4" w14:textId="77777777"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77777777" w:rsidR="007D2810" w:rsidRPr="007D2810" w:rsidRDefault="007D2810" w:rsidP="007D2810">
                  <w:pPr>
                    <w:pStyle w:val="Bibliography"/>
                    <w:ind w:left="720" w:hanging="720"/>
                    <w:rPr>
                      <w:noProof/>
                    </w:rPr>
                  </w:pPr>
                  <w:r w:rsidRPr="007D2810">
                    <w:rPr>
                      <w:noProof/>
                    </w:rPr>
                    <w:lastRenderedPageBreak/>
                    <w:t>Goodbred Jr, S. L., &amp; Hine, A. C. (1995). Coastal storm deposition: salt-marsh response to a severe extratropical storm, March 1993, west-central Florida. Geology, 23(8), 679-682.</w:t>
                  </w:r>
                </w:p>
                <w:p w14:paraId="07C759FD" w14:textId="77777777" w:rsidR="007D2810" w:rsidRP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7777777" w:rsidR="007D2810" w:rsidRP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E2C1B78" w14:textId="77777777" w:rsidR="007D2810" w:rsidRP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lastRenderedPageBreak/>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77777777" w:rsidR="007D2810" w:rsidRP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77777777" w:rsidR="007D2810" w:rsidRPr="007D2810" w:rsidRDefault="007D2810" w:rsidP="007D2810">
                  <w:pPr>
                    <w:pStyle w:val="Bibliography"/>
                    <w:ind w:left="720" w:hanging="720"/>
                    <w:rPr>
                      <w:noProof/>
                    </w:rPr>
                  </w:pPr>
                  <w:r w:rsidRPr="007D2810">
                    <w:rPr>
                      <w:noProof/>
                    </w:rPr>
                    <w:t>Walters, C. J. (1986). Adaptive management of renewable resources. Macmillan Publishers Ltd.</w:t>
                  </w:r>
                </w:p>
                <w:p w14:paraId="6A359004" w14:textId="77777777" w:rsidR="007D2810" w:rsidRPr="007D2810" w:rsidRDefault="007D2810" w:rsidP="007D2810">
                  <w:pPr>
                    <w:pStyle w:val="Bibliography"/>
                    <w:ind w:left="720" w:hanging="720"/>
                    <w:rPr>
                      <w:noProof/>
                    </w:rPr>
                  </w:pPr>
                  <w:r w:rsidRPr="007D2810">
                    <w:rPr>
                      <w:noProof/>
                    </w:rPr>
                    <w:lastRenderedPageBreak/>
                    <w:t>Yenni, G., Christensen, E., Bledsoe, E., Supp, S., Diaz, R., White, E., &amp; Morgan Ernest, S. (2018). Developing a modern data workflow for living data.</w:t>
                  </w:r>
                </w:p>
                <w:p w14:paraId="4D11DB01" w14:textId="23E2E982" w:rsidR="00E27910" w:rsidRDefault="007D2810" w:rsidP="007D2810">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p w14:paraId="21E357B3" w14:textId="2357B77D" w:rsidR="007804B6" w:rsidRPr="00D626F4" w:rsidRDefault="00E90E1F" w:rsidP="00D626F4"/>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DF624" w14:textId="77777777" w:rsidR="00E90E1F" w:rsidRDefault="00E90E1F">
      <w:pPr>
        <w:spacing w:after="0"/>
      </w:pPr>
      <w:r>
        <w:separator/>
      </w:r>
    </w:p>
  </w:endnote>
  <w:endnote w:type="continuationSeparator" w:id="0">
    <w:p w14:paraId="01005BE7" w14:textId="77777777" w:rsidR="00E90E1F" w:rsidRDefault="00E90E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FB7A0" w14:textId="77777777" w:rsidR="00E90E1F" w:rsidRDefault="00E90E1F">
      <w:r>
        <w:separator/>
      </w:r>
    </w:p>
  </w:footnote>
  <w:footnote w:type="continuationSeparator" w:id="0">
    <w:p w14:paraId="1EBFCE40" w14:textId="77777777" w:rsidR="00E90E1F" w:rsidRDefault="00E90E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BAE"/>
    <w:rsid w:val="00011C8B"/>
    <w:rsid w:val="00022576"/>
    <w:rsid w:val="00026922"/>
    <w:rsid w:val="000302AF"/>
    <w:rsid w:val="000303A0"/>
    <w:rsid w:val="00033BDC"/>
    <w:rsid w:val="00037CB7"/>
    <w:rsid w:val="0004521D"/>
    <w:rsid w:val="00054E07"/>
    <w:rsid w:val="00056536"/>
    <w:rsid w:val="00057318"/>
    <w:rsid w:val="00061C00"/>
    <w:rsid w:val="00065DC8"/>
    <w:rsid w:val="00071E9A"/>
    <w:rsid w:val="000A18A3"/>
    <w:rsid w:val="000B0055"/>
    <w:rsid w:val="000C591B"/>
    <w:rsid w:val="000D2460"/>
    <w:rsid w:val="000D4B36"/>
    <w:rsid w:val="000E6138"/>
    <w:rsid w:val="000E6596"/>
    <w:rsid w:val="000F29FD"/>
    <w:rsid w:val="000F6695"/>
    <w:rsid w:val="0011663A"/>
    <w:rsid w:val="0013365A"/>
    <w:rsid w:val="0013691C"/>
    <w:rsid w:val="0015345A"/>
    <w:rsid w:val="00155C03"/>
    <w:rsid w:val="00161066"/>
    <w:rsid w:val="0016159D"/>
    <w:rsid w:val="0019017B"/>
    <w:rsid w:val="001A17FC"/>
    <w:rsid w:val="001A6337"/>
    <w:rsid w:val="001B721F"/>
    <w:rsid w:val="001B76B2"/>
    <w:rsid w:val="001D039C"/>
    <w:rsid w:val="001D0FF7"/>
    <w:rsid w:val="001D110D"/>
    <w:rsid w:val="001F3E90"/>
    <w:rsid w:val="00206E9D"/>
    <w:rsid w:val="002134A6"/>
    <w:rsid w:val="0021506D"/>
    <w:rsid w:val="0021606F"/>
    <w:rsid w:val="00234564"/>
    <w:rsid w:val="00235B8D"/>
    <w:rsid w:val="0024139F"/>
    <w:rsid w:val="00247959"/>
    <w:rsid w:val="00250D77"/>
    <w:rsid w:val="002544DC"/>
    <w:rsid w:val="002C2C61"/>
    <w:rsid w:val="002E5C67"/>
    <w:rsid w:val="002F1258"/>
    <w:rsid w:val="002F2251"/>
    <w:rsid w:val="002F2ED1"/>
    <w:rsid w:val="00310376"/>
    <w:rsid w:val="00313942"/>
    <w:rsid w:val="003167CE"/>
    <w:rsid w:val="00323F6A"/>
    <w:rsid w:val="00333924"/>
    <w:rsid w:val="0036375B"/>
    <w:rsid w:val="00371FB4"/>
    <w:rsid w:val="003757AE"/>
    <w:rsid w:val="003808AC"/>
    <w:rsid w:val="003B0568"/>
    <w:rsid w:val="003E2651"/>
    <w:rsid w:val="003F728C"/>
    <w:rsid w:val="0042758C"/>
    <w:rsid w:val="00446FEA"/>
    <w:rsid w:val="0044783D"/>
    <w:rsid w:val="0047545D"/>
    <w:rsid w:val="00491B81"/>
    <w:rsid w:val="004B12DD"/>
    <w:rsid w:val="004C1C84"/>
    <w:rsid w:val="004C2982"/>
    <w:rsid w:val="004C3271"/>
    <w:rsid w:val="004C34A4"/>
    <w:rsid w:val="004D144E"/>
    <w:rsid w:val="004D1CAF"/>
    <w:rsid w:val="004D2C20"/>
    <w:rsid w:val="004D2E0F"/>
    <w:rsid w:val="004D3775"/>
    <w:rsid w:val="004D7BCA"/>
    <w:rsid w:val="004E2866"/>
    <w:rsid w:val="004E29B3"/>
    <w:rsid w:val="004F4FC6"/>
    <w:rsid w:val="005306A7"/>
    <w:rsid w:val="00541FC4"/>
    <w:rsid w:val="00590D07"/>
    <w:rsid w:val="00594F87"/>
    <w:rsid w:val="005A03DD"/>
    <w:rsid w:val="005C7B30"/>
    <w:rsid w:val="005D7CEB"/>
    <w:rsid w:val="005F7D9F"/>
    <w:rsid w:val="006022A3"/>
    <w:rsid w:val="006077DA"/>
    <w:rsid w:val="006213D9"/>
    <w:rsid w:val="00623372"/>
    <w:rsid w:val="00623FC8"/>
    <w:rsid w:val="00663752"/>
    <w:rsid w:val="0066529A"/>
    <w:rsid w:val="00672946"/>
    <w:rsid w:val="006736F6"/>
    <w:rsid w:val="0068087D"/>
    <w:rsid w:val="00683237"/>
    <w:rsid w:val="006841E4"/>
    <w:rsid w:val="006B42F6"/>
    <w:rsid w:val="006C2B6A"/>
    <w:rsid w:val="006C7701"/>
    <w:rsid w:val="006D42B3"/>
    <w:rsid w:val="006E71CC"/>
    <w:rsid w:val="006F007A"/>
    <w:rsid w:val="006F6878"/>
    <w:rsid w:val="007047B4"/>
    <w:rsid w:val="00712436"/>
    <w:rsid w:val="00751810"/>
    <w:rsid w:val="00755786"/>
    <w:rsid w:val="0076199E"/>
    <w:rsid w:val="00774F45"/>
    <w:rsid w:val="007804B6"/>
    <w:rsid w:val="00784D58"/>
    <w:rsid w:val="0078639A"/>
    <w:rsid w:val="0079057B"/>
    <w:rsid w:val="007B1053"/>
    <w:rsid w:val="007D2810"/>
    <w:rsid w:val="007D73E5"/>
    <w:rsid w:val="00805C86"/>
    <w:rsid w:val="00813CC1"/>
    <w:rsid w:val="00815A6F"/>
    <w:rsid w:val="00822291"/>
    <w:rsid w:val="008250CB"/>
    <w:rsid w:val="00834D59"/>
    <w:rsid w:val="00843704"/>
    <w:rsid w:val="00844B84"/>
    <w:rsid w:val="008507D3"/>
    <w:rsid w:val="008552F9"/>
    <w:rsid w:val="00875881"/>
    <w:rsid w:val="00895CB0"/>
    <w:rsid w:val="008B5761"/>
    <w:rsid w:val="008B6EF1"/>
    <w:rsid w:val="008D6863"/>
    <w:rsid w:val="008F57F8"/>
    <w:rsid w:val="009069E2"/>
    <w:rsid w:val="009144E3"/>
    <w:rsid w:val="00940963"/>
    <w:rsid w:val="00946A6B"/>
    <w:rsid w:val="00947800"/>
    <w:rsid w:val="0096344E"/>
    <w:rsid w:val="00965FA5"/>
    <w:rsid w:val="009667ED"/>
    <w:rsid w:val="00970EF4"/>
    <w:rsid w:val="0098151C"/>
    <w:rsid w:val="00986411"/>
    <w:rsid w:val="00987210"/>
    <w:rsid w:val="00991E35"/>
    <w:rsid w:val="00993BCA"/>
    <w:rsid w:val="009B3FD8"/>
    <w:rsid w:val="009C6BE6"/>
    <w:rsid w:val="009C6D75"/>
    <w:rsid w:val="009C70DF"/>
    <w:rsid w:val="009D1C51"/>
    <w:rsid w:val="009D472C"/>
    <w:rsid w:val="009E685E"/>
    <w:rsid w:val="009F17AE"/>
    <w:rsid w:val="00A005CF"/>
    <w:rsid w:val="00A038AE"/>
    <w:rsid w:val="00A05019"/>
    <w:rsid w:val="00A237C7"/>
    <w:rsid w:val="00A26BAA"/>
    <w:rsid w:val="00A33645"/>
    <w:rsid w:val="00A367D3"/>
    <w:rsid w:val="00A36922"/>
    <w:rsid w:val="00A54C5D"/>
    <w:rsid w:val="00A563AF"/>
    <w:rsid w:val="00A6448D"/>
    <w:rsid w:val="00A74CF4"/>
    <w:rsid w:val="00A77E78"/>
    <w:rsid w:val="00AA2121"/>
    <w:rsid w:val="00AA3085"/>
    <w:rsid w:val="00AA536C"/>
    <w:rsid w:val="00AB1EA1"/>
    <w:rsid w:val="00AC55BA"/>
    <w:rsid w:val="00AC58D4"/>
    <w:rsid w:val="00AE22E4"/>
    <w:rsid w:val="00AF0C67"/>
    <w:rsid w:val="00AF25AE"/>
    <w:rsid w:val="00AF3FEC"/>
    <w:rsid w:val="00AF4982"/>
    <w:rsid w:val="00AF685D"/>
    <w:rsid w:val="00B0054B"/>
    <w:rsid w:val="00B04E5D"/>
    <w:rsid w:val="00B05D39"/>
    <w:rsid w:val="00B2489C"/>
    <w:rsid w:val="00B601AA"/>
    <w:rsid w:val="00B81E31"/>
    <w:rsid w:val="00B84A62"/>
    <w:rsid w:val="00B86B75"/>
    <w:rsid w:val="00B87885"/>
    <w:rsid w:val="00B92E66"/>
    <w:rsid w:val="00B94A8A"/>
    <w:rsid w:val="00BB27F2"/>
    <w:rsid w:val="00BC48D5"/>
    <w:rsid w:val="00BC6E4F"/>
    <w:rsid w:val="00BE25DA"/>
    <w:rsid w:val="00C01808"/>
    <w:rsid w:val="00C31827"/>
    <w:rsid w:val="00C36081"/>
    <w:rsid w:val="00C36279"/>
    <w:rsid w:val="00C431DA"/>
    <w:rsid w:val="00C619D4"/>
    <w:rsid w:val="00C65945"/>
    <w:rsid w:val="00C67242"/>
    <w:rsid w:val="00C7795B"/>
    <w:rsid w:val="00C82A26"/>
    <w:rsid w:val="00C94DB9"/>
    <w:rsid w:val="00C96CB1"/>
    <w:rsid w:val="00CA4891"/>
    <w:rsid w:val="00CB54FD"/>
    <w:rsid w:val="00CB5953"/>
    <w:rsid w:val="00CE16F8"/>
    <w:rsid w:val="00CE7669"/>
    <w:rsid w:val="00CF0735"/>
    <w:rsid w:val="00CF27E7"/>
    <w:rsid w:val="00D00E62"/>
    <w:rsid w:val="00D07145"/>
    <w:rsid w:val="00D2024D"/>
    <w:rsid w:val="00D329FA"/>
    <w:rsid w:val="00D53AC2"/>
    <w:rsid w:val="00D626F4"/>
    <w:rsid w:val="00D75A34"/>
    <w:rsid w:val="00D861F5"/>
    <w:rsid w:val="00D92995"/>
    <w:rsid w:val="00DA26CD"/>
    <w:rsid w:val="00DF11E6"/>
    <w:rsid w:val="00DF26A4"/>
    <w:rsid w:val="00E17ACE"/>
    <w:rsid w:val="00E23976"/>
    <w:rsid w:val="00E27910"/>
    <w:rsid w:val="00E315A3"/>
    <w:rsid w:val="00E365B2"/>
    <w:rsid w:val="00E6057D"/>
    <w:rsid w:val="00E90E1F"/>
    <w:rsid w:val="00EB7774"/>
    <w:rsid w:val="00EC5A11"/>
    <w:rsid w:val="00ED4665"/>
    <w:rsid w:val="00ED6000"/>
    <w:rsid w:val="00EE4D03"/>
    <w:rsid w:val="00EF1547"/>
    <w:rsid w:val="00EF1E79"/>
    <w:rsid w:val="00F045AA"/>
    <w:rsid w:val="00F221F9"/>
    <w:rsid w:val="00F366AC"/>
    <w:rsid w:val="00F36B05"/>
    <w:rsid w:val="00F3791A"/>
    <w:rsid w:val="00F40BDF"/>
    <w:rsid w:val="00F50112"/>
    <w:rsid w:val="00F565AD"/>
    <w:rsid w:val="00F5690E"/>
    <w:rsid w:val="00F62DDE"/>
    <w:rsid w:val="00F650A6"/>
    <w:rsid w:val="00FA1906"/>
    <w:rsid w:val="00FB2DE9"/>
    <w:rsid w:val="00FC7DD5"/>
    <w:rsid w:val="00FE11C3"/>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hyperlink" Target="https://www.fgdl.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carpentry.github.io/git-novice/" TargetMode="External"/><Relationship Id="rId25" Type="http://schemas.openxmlformats.org/officeDocument/2006/relationships/hyperlink" Target="https://www.bebr.ufl.edu/population"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6.emf"/><Relationship Id="rId10" Type="http://schemas.openxmlformats.org/officeDocument/2006/relationships/hyperlink" Target="https://github.com/" TargetMode="External"/><Relationship Id="rId19" Type="http://schemas.openxmlformats.org/officeDocument/2006/relationships/hyperlink" Target="https://www.usgs.gov/products/data-and-tools/data-management/data-standards" TargetMode="External"/><Relationship Id="rId31" Type="http://schemas.openxmlformats.org/officeDocument/2006/relationships/hyperlink" Target="https://www.fgdl.org"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hyperlink" Target="https://link.springer.com/article/10.1007/s12237-015-9974-y" TargetMode="External"/><Relationship Id="rId27" Type="http://schemas.microsoft.com/office/2007/relationships/hdphoto" Target="media/hdphoto1.wdp"/><Relationship Id="rId30" Type="http://schemas.openxmlformats.org/officeDocument/2006/relationships/hyperlink" Target="https://www.sciencebase.gov/catalog/item/50ed7aa4e4b0438b00db080a" TargetMode="External"/><Relationship Id="rId35" Type="http://schemas.openxmlformats.org/officeDocument/2006/relationships/hyperlink" Target="http://geodata.myfwc.com/datasets/florida-shoreline-1-to-2000000-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26C257F9-2874-4077-AB36-65F2ADDB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5474</TotalTime>
  <Pages>40</Pages>
  <Words>9183</Words>
  <Characters>52347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150</cp:revision>
  <dcterms:created xsi:type="dcterms:W3CDTF">2019-05-07T17:16:00Z</dcterms:created>
  <dcterms:modified xsi:type="dcterms:W3CDTF">2019-09-22T20:47:00Z</dcterms:modified>
</cp:coreProperties>
</file>