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Salinity</w:t>
      </w:r>
      <w:r>
        <w:t xml:space="preserve"> </w:t>
      </w:r>
      <w:r>
        <w:t xml:space="preserve">and</w:t>
      </w:r>
      <w:r>
        <w:t xml:space="preserve"> </w:t>
      </w:r>
      <w:r>
        <w:t xml:space="preserve">Temperature</w:t>
      </w:r>
      <w:r>
        <w:t xml:space="preserve"> </w:t>
      </w:r>
      <w:r>
        <w:t xml:space="preserve">Quarterly</w:t>
      </w:r>
      <w:r>
        <w:t xml:space="preserve"> </w:t>
      </w:r>
      <w:r>
        <w:t xml:space="preserve">Reports</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sal_summ, </w:t>
      </w:r>
      <w:r>
        <w:rPr>
          <w:rStyle w:val="KeywordTok"/>
        </w:rPr>
        <w:t xml:space="preserve">aes</w:t>
      </w:r>
      <w:r>
        <w:rPr>
          <w:rStyle w:val="NormalTok"/>
        </w:rPr>
        <w:t xml:space="preserve">(</w:t>
      </w:r>
      <w:r>
        <w:rPr>
          <w:rStyle w:val="DataTypeTok"/>
        </w:rPr>
        <w:t xml:space="preserve">x=</w:t>
      </w:r>
      <w:r>
        <w:rPr>
          <w:rStyle w:val="NormalTok"/>
        </w:rPr>
        <w:t xml:space="preserve">dsal2, </w:t>
      </w:r>
      <w:r>
        <w:rPr>
          <w:rStyle w:val="DataTypeTok"/>
        </w:rPr>
        <w:t xml:space="preserve">y=</w:t>
      </w:r>
      <w:r>
        <w:rPr>
          <w:rStyle w:val="NormalTok"/>
        </w:rPr>
        <w:t xml:space="preserve">meanVal, </w:t>
      </w:r>
      <w:r>
        <w:rPr>
          <w:rStyle w:val="DataTypeTok"/>
        </w:rPr>
        <w:t xml:space="preserve">fill =</w:t>
      </w:r>
      <w:r>
        <w:rPr>
          <w:rStyle w:val="NormalTok"/>
        </w:rPr>
        <w:t xml:space="preserve"> </w:t>
      </w:r>
      <w:r>
        <w:rPr>
          <w:rStyle w:val="StringTok"/>
        </w:rPr>
        <w:t xml:space="preserve">"Salinity"</w:t>
      </w:r>
      <w:r>
        <w:rPr>
          <w:rStyle w:val="NormalTok"/>
        </w:rPr>
        <w:t xml:space="preserve">), </w:t>
      </w:r>
      <w:r>
        <w:rPr>
          <w:rStyle w:val="DataTypeTok"/>
        </w:rPr>
        <w:t xml:space="preserve">size=</w:t>
      </w:r>
      <w:r>
        <w:rPr>
          <w:rStyle w:val="NormalTok"/>
        </w:rPr>
        <w:t xml:space="preserve"> </w:t>
      </w:r>
      <w:r>
        <w:rPr>
          <w:rStyle w:val="FloatTok"/>
        </w:rPr>
        <w:t xml:space="preserve">1.1</w:t>
      </w:r>
      <w:r>
        <w:rPr>
          <w:rStyle w:val="NormalTok"/>
        </w:rPr>
        <w:t xml:space="preserve">, </w:t>
      </w:r>
      <w:r>
        <w:rPr>
          <w:rStyle w:val="DataTypeTok"/>
        </w:rPr>
        <w:t xml:space="preserve">color=</w:t>
      </w:r>
      <w:r>
        <w:rPr>
          <w:rStyle w:val="NormalTok"/>
        </w:rPr>
        <w:t xml:space="preserve"> </w:t>
      </w:r>
      <w:r>
        <w:rPr>
          <w:rStyle w:val="StringTok"/>
        </w:rPr>
        <w:t xml:space="preserve">"#0072B2"</w:t>
      </w:r>
      <w:r>
        <w:rPr>
          <w:rStyle w:val="NormalTok"/>
        </w:rPr>
        <w:t xml:space="preserve">)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w:t>
      </w:r>
      <w:r>
        <w:rPr>
          <w:rStyle w:val="NormalTok"/>
        </w:rPr>
        <w:t xml:space="preserve">dis3, </w:t>
      </w:r>
      <w:r>
        <w:rPr>
          <w:rStyle w:val="KeywordTok"/>
        </w:rPr>
        <w:t xml:space="preserve">aes</w:t>
      </w:r>
      <w:r>
        <w:rPr>
          <w:rStyle w:val="NormalTok"/>
        </w:rPr>
        <w:t xml:space="preserve">(</w:t>
      </w:r>
      <w:r>
        <w:rPr>
          <w:rStyle w:val="DataTypeTok"/>
        </w:rPr>
        <w:t xml:space="preserve">x=</w:t>
      </w:r>
      <w:r>
        <w:rPr>
          <w:rStyle w:val="NormalTok"/>
        </w:rPr>
        <w:t xml:space="preserve">d2, </w:t>
      </w:r>
      <w:r>
        <w:rPr>
          <w:rStyle w:val="DataTypeTok"/>
        </w:rPr>
        <w:t xml:space="preserve">ymax=</w:t>
      </w:r>
      <w:r>
        <w:rPr>
          <w:rStyle w:val="NormalTok"/>
        </w:rPr>
        <w:t xml:space="preserve">maxVal, </w:t>
      </w:r>
      <w:r>
        <w:rPr>
          <w:rStyle w:val="DataTypeTok"/>
        </w:rPr>
        <w:t xml:space="preserve">ymin=</w:t>
      </w:r>
      <w:r>
        <w:rPr>
          <w:rStyle w:val="NormalTok"/>
        </w:rPr>
        <w:t xml:space="preserve">minVal, </w:t>
      </w:r>
      <w:r>
        <w:rPr>
          <w:rStyle w:val="DataTypeTok"/>
        </w:rPr>
        <w:t xml:space="preserve">fill=</w:t>
      </w:r>
      <w:r>
        <w:rPr>
          <w:rStyle w:val="NormalTok"/>
        </w:rPr>
        <w:t xml:space="preserve">Measure), </w:t>
      </w:r>
      <w:r>
        <w:br w:type="textWrapping"/>
      </w:r>
      <w:r>
        <w:rPr>
          <w:rStyle w:val="NormalTok"/>
        </w:rPr>
        <w:t xml:space="preserve">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"Salinity(ppt)"</w:t>
      </w:r>
      <w:r>
        <w:rPr>
          <w:rStyle w:val="NormalTok"/>
        </w:rPr>
        <w:t xml:space="preserve">, </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40</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20</w:t>
      </w:r>
      <w:r>
        <w:rPr>
          <w:rStyle w:val="NormalTok"/>
        </w:rPr>
        <w:t xml:space="preserve">), </w:t>
      </w:r>
      <w:r>
        <w:br w:type="textWrapping"/>
      </w:r>
      <w:r>
        <w:rPr>
          <w:rStyle w:val="NormalTok"/>
        </w:rPr>
        <w:t xml:space="preserve">                                         </w:t>
      </w:r>
      <w:r>
        <w:rPr>
          <w:rStyle w:val="DataTypeTok"/>
        </w:rPr>
        <w:t xml:space="preserve">name =</w:t>
      </w:r>
      <w:r>
        <w:rPr>
          <w:rStyle w:val="NormalTok"/>
        </w:rPr>
        <w:t xml:space="preserve"> </w:t>
      </w:r>
      <w:r>
        <w:rPr>
          <w:rStyle w:val="StringTok"/>
        </w:rPr>
        <w:t xml:space="preserve">"River Discharge (1,000 cfs)</w:t>
      </w:r>
      <w:r>
        <w:br w:type="textWrapping"/>
      </w:r>
      <w:r>
        <w:rPr>
          <w:rStyle w:val="StringTok"/>
        </w:rPr>
        <w:t xml:space="preserve">                                         "</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 =</w:t>
      </w:r>
      <w:r>
        <w:rPr>
          <w:rStyle w:val="NormalTok"/>
        </w:rPr>
        <w:t xml:space="preserve"> </w:t>
      </w:r>
      <w:r>
        <w:rPr>
          <w:rStyle w:val="StringTok"/>
        </w:rPr>
        <w:t xml:space="preserve">"2 months"</w:t>
      </w:r>
      <w:r>
        <w:rPr>
          <w:rStyle w:val="NormalTok"/>
        </w:rPr>
        <w:t xml:space="preserve">, </w:t>
      </w:r>
      <w:r>
        <w:rPr>
          <w:rStyle w:val="DataTypeTok"/>
        </w:rPr>
        <w:t xml:space="preserve">date_labels =</w:t>
      </w:r>
      <w:r>
        <w:rPr>
          <w:rStyle w:val="NormalTok"/>
        </w:rPr>
        <w:t xml:space="preserve"> </w:t>
      </w:r>
      <w:r>
        <w:rPr>
          <w:rStyle w:val="StringTok"/>
        </w:rPr>
        <w:t xml:space="preserve">"%y-%m-%d"</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w:t>
      </w:r>
      <w:r>
        <w:rPr>
          <w:rStyle w:val="StringTok"/>
        </w:rPr>
        <w:t xml:space="preserve">"top"</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linetype=</w:t>
      </w:r>
      <w:r>
        <w:rPr>
          <w:rStyle w:val="StringTok"/>
        </w:rPr>
        <w:t xml:space="preserve">"solid"</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plot.title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face=</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DataTypeTok"/>
        </w:rPr>
        <w:t xml:space="preserve">ncol=</w:t>
      </w:r>
      <w:r>
        <w:rPr>
          <w:rStyle w:val="DecValTok"/>
        </w:rPr>
        <w:t xml:space="preserve">3</w:t>
      </w:r>
      <w:r>
        <w:rPr>
          <w:rStyle w:val="NormalTok"/>
        </w:rPr>
        <w:t xml:space="preserve">, </w:t>
      </w:r>
      <w:r>
        <w:rPr>
          <w:rStyle w:val="DataTypeTok"/>
        </w:rPr>
        <w:t xml:space="preserve">labeller =</w:t>
      </w:r>
      <w:r>
        <w:rPr>
          <w:rStyle w:val="NormalTok"/>
        </w:rPr>
        <w:t xml:space="preserve"> label_both)</w:t>
      </w:r>
    </w:p>
    <w:p>
      <w:pPr>
        <w:pStyle w:val="SourceCode"/>
      </w:pPr>
      <w:r>
        <w:rPr>
          <w:rStyle w:val="VerbatimChar"/>
        </w:rPr>
        <w:t xml:space="preserve">## Warning: Ignoring unknown aesthetics: fill</w:t>
      </w:r>
    </w:p>
    <w:p>
      <w:pPr>
        <w:pStyle w:val="SourceCode"/>
      </w:pPr>
      <w:r>
        <w:rPr>
          <w:rStyle w:val="VerbatimChar"/>
        </w:rPr>
        <w:t xml:space="preserve">## Warning: Removed 11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5ee4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Salinity and Temperature Quarterly Reports</dc:title>
  <dc:creator/>
  <dcterms:created xsi:type="dcterms:W3CDTF">2018-10-23T17:33:36Z</dcterms:created>
  <dcterms:modified xsi:type="dcterms:W3CDTF">2018-10-23T17:33:36Z</dcterms:modified>
</cp:coreProperties>
</file>